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882C1"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012D1A0F">
      <w:pPr>
        <w:spacing w:line="580" w:lineRule="exact"/>
        <w:jc w:val="center"/>
        <w:rPr>
          <w:rFonts w:hint="default" w:ascii="方正小标宋简体" w:hAnsi="黑体" w:eastAsia="方正小标宋简体" w:cs="黑体"/>
          <w:sz w:val="44"/>
          <w:szCs w:val="44"/>
          <w:highlight w:val="none"/>
          <w:lang w:val="en-US" w:eastAsia="zh-CN"/>
        </w:rPr>
      </w:pPr>
      <w:r>
        <w:rPr>
          <w:rFonts w:hint="default" w:ascii="方正小标宋简体" w:hAnsi="黑体" w:eastAsia="方正小标宋简体" w:cs="黑体"/>
          <w:sz w:val="44"/>
          <w:szCs w:val="44"/>
          <w:highlight w:val="none"/>
          <w:lang w:val="en-US" w:eastAsia="zh-CN"/>
        </w:rPr>
        <w:t>第十八届山东省职业院校技能大赛</w:t>
      </w:r>
    </w:p>
    <w:p w14:paraId="4632ACFD">
      <w:pPr>
        <w:spacing w:line="580" w:lineRule="exact"/>
        <w:jc w:val="center"/>
        <w:rPr>
          <w:rFonts w:hint="default" w:ascii="方正小标宋简体" w:hAnsi="黑体" w:eastAsia="方正小标宋简体" w:cs="黑体"/>
          <w:sz w:val="44"/>
          <w:szCs w:val="44"/>
          <w:highlight w:val="none"/>
          <w:lang w:val="en-US" w:eastAsia="zh-CN"/>
        </w:rPr>
      </w:pPr>
      <w:r>
        <w:rPr>
          <w:rFonts w:hint="default" w:ascii="方正小标宋简体" w:hAnsi="黑体" w:eastAsia="方正小标宋简体" w:cs="黑体"/>
          <w:sz w:val="44"/>
          <w:szCs w:val="44"/>
          <w:highlight w:val="none"/>
          <w:lang w:val="en-US" w:eastAsia="zh-CN"/>
        </w:rPr>
        <w:t>评分要素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2460"/>
        <w:gridCol w:w="5152"/>
      </w:tblGrid>
      <w:tr w14:paraId="7B67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1448" w:type="dxa"/>
            <w:noWrap w:val="0"/>
            <w:vAlign w:val="center"/>
          </w:tcPr>
          <w:p w14:paraId="25B3DF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bookmarkStart w:id="0" w:name="_GoBack" w:colFirst="0" w:colLast="2"/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评分指标</w:t>
            </w:r>
          </w:p>
        </w:tc>
        <w:tc>
          <w:tcPr>
            <w:tcW w:w="2460" w:type="dxa"/>
            <w:noWrap w:val="0"/>
            <w:vAlign w:val="center"/>
          </w:tcPr>
          <w:p w14:paraId="3AE5B0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观 测 点</w:t>
            </w:r>
          </w:p>
        </w:tc>
        <w:tc>
          <w:tcPr>
            <w:tcW w:w="5152" w:type="dxa"/>
            <w:noWrap w:val="0"/>
            <w:vAlign w:val="center"/>
          </w:tcPr>
          <w:p w14:paraId="7766E0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说      明</w:t>
            </w:r>
          </w:p>
        </w:tc>
      </w:tr>
      <w:bookmarkEnd w:id="0"/>
      <w:tr w14:paraId="7132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448" w:type="dxa"/>
            <w:vMerge w:val="restart"/>
            <w:noWrap w:val="0"/>
            <w:vAlign w:val="center"/>
          </w:tcPr>
          <w:p w14:paraId="1FE6D1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一、技能水平 </w:t>
            </w:r>
          </w:p>
          <w:p w14:paraId="7B3E61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（权重60%，</w:t>
            </w:r>
          </w:p>
          <w:p w14:paraId="2DCD98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60分）</w:t>
            </w:r>
          </w:p>
        </w:tc>
        <w:tc>
          <w:tcPr>
            <w:tcW w:w="2460" w:type="dxa"/>
            <w:noWrap w:val="0"/>
            <w:vAlign w:val="center"/>
          </w:tcPr>
          <w:p w14:paraId="4E4C6ED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1.操作规范性（10分）</w:t>
            </w:r>
          </w:p>
        </w:tc>
        <w:tc>
          <w:tcPr>
            <w:tcW w:w="5152" w:type="dxa"/>
            <w:noWrap w:val="0"/>
            <w:vAlign w:val="center"/>
          </w:tcPr>
          <w:p w14:paraId="416FC5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技能操作规范，符合行业标准和岗位要求。</w:t>
            </w:r>
          </w:p>
        </w:tc>
      </w:tr>
      <w:tr w14:paraId="35CD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72901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71CD8D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2.技能熟练度（15分）</w:t>
            </w:r>
          </w:p>
        </w:tc>
        <w:tc>
          <w:tcPr>
            <w:tcW w:w="5152" w:type="dxa"/>
            <w:noWrap w:val="0"/>
            <w:vAlign w:val="center"/>
          </w:tcPr>
          <w:p w14:paraId="76F2005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知识技术应用和软硬件等工具使用熟练，操作流畅，运用精准，任务进度控制和时间利用合理。</w:t>
            </w:r>
          </w:p>
        </w:tc>
      </w:tr>
      <w:tr w14:paraId="317E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6A5B7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5CBF5F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3.任务难易度（15分）</w:t>
            </w:r>
          </w:p>
        </w:tc>
        <w:tc>
          <w:tcPr>
            <w:tcW w:w="5152" w:type="dxa"/>
            <w:noWrap w:val="0"/>
            <w:vAlign w:val="center"/>
          </w:tcPr>
          <w:p w14:paraId="4F41B5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工作任务完整，突出关键技术，具有一定挑战性，需要较高技能操作水平和解决复杂问题的综合能力。</w:t>
            </w:r>
          </w:p>
        </w:tc>
      </w:tr>
      <w:tr w14:paraId="7BDB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64C7F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2D8E14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4.技术先进性（15分）</w:t>
            </w:r>
          </w:p>
        </w:tc>
        <w:tc>
          <w:tcPr>
            <w:tcW w:w="5152" w:type="dxa"/>
            <w:noWrap w:val="0"/>
            <w:vAlign w:val="center"/>
          </w:tcPr>
          <w:p w14:paraId="101854E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体现所属行业新标准、新技术、新场景应用，积极应用前沿技术、数字化技术，技术选择恰当。</w:t>
            </w:r>
          </w:p>
        </w:tc>
      </w:tr>
      <w:tr w14:paraId="4CE2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14A4D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4AB8E32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5.现场讲解效果（5分）</w:t>
            </w:r>
          </w:p>
        </w:tc>
        <w:tc>
          <w:tcPr>
            <w:tcW w:w="5152" w:type="dxa"/>
            <w:noWrap w:val="0"/>
            <w:vAlign w:val="center"/>
          </w:tcPr>
          <w:p w14:paraId="14C363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讲解内容逻辑清晰，重点突出，表达准确。</w:t>
            </w:r>
          </w:p>
        </w:tc>
      </w:tr>
      <w:tr w14:paraId="0B1DB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448" w:type="dxa"/>
            <w:vMerge w:val="restart"/>
            <w:noWrap w:val="0"/>
            <w:vAlign w:val="center"/>
          </w:tcPr>
          <w:p w14:paraId="178BFB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二、职业素养 </w:t>
            </w:r>
          </w:p>
          <w:p w14:paraId="0AD72C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（权重10%，</w:t>
            </w:r>
          </w:p>
          <w:p w14:paraId="48DF316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10分）</w:t>
            </w:r>
          </w:p>
        </w:tc>
        <w:tc>
          <w:tcPr>
            <w:tcW w:w="2460" w:type="dxa"/>
            <w:noWrap w:val="0"/>
            <w:vAlign w:val="center"/>
          </w:tcPr>
          <w:p w14:paraId="51FB429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1.职业道德与行为规范 </w:t>
            </w:r>
          </w:p>
          <w:p w14:paraId="1A08DB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（4分）</w:t>
            </w:r>
          </w:p>
        </w:tc>
        <w:tc>
          <w:tcPr>
            <w:tcW w:w="5152" w:type="dxa"/>
            <w:noWrap w:val="0"/>
            <w:vAlign w:val="center"/>
          </w:tcPr>
          <w:p w14:paraId="640C62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诚信守法，尊重知识产权，遵守职业伦理，展现良好职业风貌。</w:t>
            </w:r>
          </w:p>
        </w:tc>
      </w:tr>
      <w:tr w14:paraId="23F2B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0FD0E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AAAEC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2.工匠精神（3分）</w:t>
            </w:r>
          </w:p>
        </w:tc>
        <w:tc>
          <w:tcPr>
            <w:tcW w:w="5152" w:type="dxa"/>
            <w:noWrap w:val="0"/>
            <w:vAlign w:val="center"/>
          </w:tcPr>
          <w:p w14:paraId="3E92BB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注重细节，精益求精，追求卓越，体现管理意识和质量意识。</w:t>
            </w:r>
          </w:p>
        </w:tc>
      </w:tr>
      <w:tr w14:paraId="6AD79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02AAA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1F311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3.安全意识（3分）</w:t>
            </w:r>
          </w:p>
        </w:tc>
        <w:tc>
          <w:tcPr>
            <w:tcW w:w="5152" w:type="dxa"/>
            <w:noWrap w:val="0"/>
            <w:vAlign w:val="center"/>
          </w:tcPr>
          <w:p w14:paraId="6BCA9E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严格遵守安全规范，具备劳动保护和风险防范意识。</w:t>
            </w:r>
          </w:p>
        </w:tc>
      </w:tr>
      <w:tr w14:paraId="497E3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1448" w:type="dxa"/>
            <w:vMerge w:val="restart"/>
            <w:noWrap w:val="0"/>
            <w:vAlign w:val="center"/>
          </w:tcPr>
          <w:p w14:paraId="58E2D3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三、应用价值 </w:t>
            </w:r>
          </w:p>
          <w:p w14:paraId="386FD80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（权重10%，</w:t>
            </w:r>
          </w:p>
          <w:p w14:paraId="1CBB635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10分）</w:t>
            </w:r>
          </w:p>
        </w:tc>
        <w:tc>
          <w:tcPr>
            <w:tcW w:w="2460" w:type="dxa"/>
            <w:noWrap w:val="0"/>
            <w:vAlign w:val="center"/>
          </w:tcPr>
          <w:p w14:paraId="45ABAA7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1.实用性（4分）</w:t>
            </w:r>
          </w:p>
        </w:tc>
        <w:tc>
          <w:tcPr>
            <w:tcW w:w="5152" w:type="dxa"/>
            <w:noWrap w:val="0"/>
            <w:vAlign w:val="center"/>
          </w:tcPr>
          <w:p w14:paraId="131E96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解决方案可直接应用于实践，有效解决生产、生活中的实际问题，契合产业转型升级、区域经济社会发展、乡村振兴、促进高质量就业等国家战略需求。</w:t>
            </w:r>
          </w:p>
        </w:tc>
      </w:tr>
      <w:tr w14:paraId="1D6D5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0BFC0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584D6B9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2.经济性（3分）</w:t>
            </w:r>
          </w:p>
        </w:tc>
        <w:tc>
          <w:tcPr>
            <w:tcW w:w="5152" w:type="dxa"/>
            <w:noWrap w:val="0"/>
            <w:vAlign w:val="center"/>
          </w:tcPr>
          <w:p w14:paraId="42F559D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资源利用合理，体现高效益、高质量。</w:t>
            </w:r>
          </w:p>
        </w:tc>
      </w:tr>
      <w:tr w14:paraId="410D1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2A2AE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3B1410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3.可持续性（3分）</w:t>
            </w:r>
          </w:p>
        </w:tc>
        <w:tc>
          <w:tcPr>
            <w:tcW w:w="5152" w:type="dxa"/>
            <w:noWrap w:val="0"/>
            <w:vAlign w:val="center"/>
          </w:tcPr>
          <w:p w14:paraId="5C64A1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具有良好环保意识，绿色低碳，符合产业未来发展方向。</w:t>
            </w:r>
          </w:p>
        </w:tc>
      </w:tr>
      <w:tr w14:paraId="06798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1448" w:type="dxa"/>
            <w:vMerge w:val="restart"/>
            <w:noWrap w:val="0"/>
            <w:vAlign w:val="center"/>
          </w:tcPr>
          <w:p w14:paraId="2AD2E0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四、团队合作 </w:t>
            </w:r>
          </w:p>
          <w:p w14:paraId="1A64044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（权重10%，</w:t>
            </w:r>
          </w:p>
          <w:p w14:paraId="4BF6B3D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10分）</w:t>
            </w:r>
          </w:p>
        </w:tc>
        <w:tc>
          <w:tcPr>
            <w:tcW w:w="2460" w:type="dxa"/>
            <w:noWrap w:val="0"/>
            <w:vAlign w:val="center"/>
          </w:tcPr>
          <w:p w14:paraId="602EBB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1.团队精神（5分）</w:t>
            </w:r>
          </w:p>
        </w:tc>
        <w:tc>
          <w:tcPr>
            <w:tcW w:w="5152" w:type="dxa"/>
            <w:noWrap w:val="0"/>
            <w:vAlign w:val="center"/>
          </w:tcPr>
          <w:p w14:paraId="43C064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团队成员能够准确理解共同目标和任务，清楚自己的角色定位和职责，团队成员相互尊重、信任和支持，拥有良好的团队氛围。</w:t>
            </w:r>
          </w:p>
        </w:tc>
      </w:tr>
      <w:tr w14:paraId="751BC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21798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51125E2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2.沟通协作（5分）</w:t>
            </w:r>
          </w:p>
        </w:tc>
        <w:tc>
          <w:tcPr>
            <w:tcW w:w="5152" w:type="dxa"/>
            <w:noWrap w:val="0"/>
            <w:vAlign w:val="center"/>
          </w:tcPr>
          <w:p w14:paraId="083AD0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团队成员在比赛中能够有效沟通、紧密协作，能够相互补台，共同应对突发情况。</w:t>
            </w:r>
          </w:p>
        </w:tc>
      </w:tr>
      <w:tr w14:paraId="0E0C6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Merge w:val="restart"/>
            <w:noWrap w:val="0"/>
            <w:vAlign w:val="center"/>
          </w:tcPr>
          <w:p w14:paraId="6328E2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五、创新创意 </w:t>
            </w:r>
          </w:p>
          <w:p w14:paraId="0DF70D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（权重10%，</w:t>
            </w:r>
          </w:p>
          <w:p w14:paraId="4C9207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10分）</w:t>
            </w:r>
          </w:p>
        </w:tc>
        <w:tc>
          <w:tcPr>
            <w:tcW w:w="2460" w:type="dxa"/>
            <w:noWrap w:val="0"/>
            <w:vAlign w:val="center"/>
          </w:tcPr>
          <w:p w14:paraId="20D9C1D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1.创新意识（4分）</w:t>
            </w:r>
          </w:p>
        </w:tc>
        <w:tc>
          <w:tcPr>
            <w:tcW w:w="5152" w:type="dxa"/>
            <w:noWrap w:val="0"/>
            <w:vAlign w:val="center"/>
          </w:tcPr>
          <w:p w14:paraId="720C97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体现原始创意、创新和团队成员创新精神、创新能力。</w:t>
            </w:r>
          </w:p>
        </w:tc>
      </w:tr>
      <w:tr w14:paraId="4BFC8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1448" w:type="dxa"/>
            <w:vMerge w:val="continue"/>
            <w:noWrap w:val="0"/>
            <w:vAlign w:val="center"/>
          </w:tcPr>
          <w:p w14:paraId="220A9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29CBAE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2.创新成效（6分）</w:t>
            </w:r>
          </w:p>
        </w:tc>
        <w:tc>
          <w:tcPr>
            <w:tcW w:w="5152" w:type="dxa"/>
            <w:noWrap w:val="0"/>
            <w:vAlign w:val="center"/>
          </w:tcPr>
          <w:p w14:paraId="2CA3069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在要素整合、新技术应用、工艺流程改进、服务模式优化等方面具有原创性，侧重加工工艺创新、实用技术创新、产品（技术）数字化改良、应用性优化、民生类创意等。</w:t>
            </w:r>
          </w:p>
        </w:tc>
      </w:tr>
    </w:tbl>
    <w:p w14:paraId="7E698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</w:p>
    <w:p w14:paraId="0B1C2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  <w:t>说明：</w:t>
      </w:r>
    </w:p>
    <w:p w14:paraId="00D77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1.评分原则为“突出能力导向、解决实际问题、体现创新因素、确保公平可比”；</w:t>
      </w:r>
    </w:p>
    <w:p w14:paraId="43677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2.评分要素充分体现综合育人功能，突出教育教学改革创新，共5项评分指标，总分100分；</w:t>
      </w:r>
    </w:p>
    <w:p w14:paraId="24213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3.每项评分指标包括若干评分观测点，每个观测点有明确的分值；</w:t>
      </w:r>
    </w:p>
    <w:p w14:paraId="2FDD5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4.评委依据观测点及说明，根据参赛团队的技能操作和现场讲解情况进行评分，避免主观印象影响。</w:t>
      </w:r>
    </w:p>
    <w:p w14:paraId="2962A5BF">
      <w:pPr>
        <w:spacing w:line="20" w:lineRule="exact"/>
        <w:ind w:left="40" w:leftChars="-135" w:hanging="323" w:hangingChars="101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</w:p>
    <w:p w14:paraId="376B9057"/>
    <w:p w14:paraId="51AC8338">
      <w:pPr>
        <w:shd w:val="clear" w:color="000000" w:fill="auto"/>
        <w:adjustRightInd w:val="0"/>
        <w:snapToGrid w:val="0"/>
        <w:spacing w:line="58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</w:rPr>
      </w:pPr>
    </w:p>
    <w:p w14:paraId="2B62941A"/>
    <w:sectPr>
      <w:footerReference r:id="rId3" w:type="default"/>
      <w:footerReference r:id="rId4" w:type="even"/>
      <w:pgSz w:w="11906" w:h="16838"/>
      <w:pgMar w:top="2041" w:right="1531" w:bottom="1985" w:left="1531" w:header="851" w:footer="164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28448D-1E74-4CF5-963B-80B99EE064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BFE69B3-17BA-4607-9214-F4DB7B9AA65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B336DEE-B862-4248-8338-AD3F1E6BB50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34D6864-8ACB-4FD3-A497-8D0280FE0BB6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5" w:fontKey="{20D585A4-DF75-4481-98A6-222AE48416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AE655">
    <w:pPr>
      <w:pStyle w:val="2"/>
      <w:framePr w:wrap="around" w:vAnchor="text" w:hAnchor="margin" w:xAlign="outside" w:y="1"/>
      <w:ind w:left="315" w:leftChars="150" w:right="315" w:rightChars="150"/>
      <w:rPr>
        <w:rStyle w:val="6"/>
        <w:sz w:val="28"/>
        <w:szCs w:val="28"/>
      </w:rPr>
    </w:pPr>
    <w:r>
      <w:rPr>
        <w:rStyle w:val="6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18</w:t>
    </w:r>
    <w:r>
      <w:rPr>
        <w:rStyle w:val="6"/>
        <w:sz w:val="28"/>
        <w:szCs w:val="28"/>
      </w:rPr>
      <w:fldChar w:fldCharType="end"/>
    </w:r>
    <w:r>
      <w:rPr>
        <w:rStyle w:val="6"/>
        <w:sz w:val="28"/>
        <w:szCs w:val="28"/>
      </w:rPr>
      <w:t xml:space="preserve"> —</w:t>
    </w:r>
  </w:p>
  <w:p w14:paraId="5D3E0122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3295E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8E4AF0A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058DE"/>
    <w:rsid w:val="028058DE"/>
    <w:rsid w:val="0AEE5859"/>
    <w:rsid w:val="131A0C81"/>
    <w:rsid w:val="1AAF0234"/>
    <w:rsid w:val="5B19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715</Words>
  <Characters>748</Characters>
  <Lines>0</Lines>
  <Paragraphs>0</Paragraphs>
  <TotalTime>0</TotalTime>
  <ScaleCrop>false</ScaleCrop>
  <LinksUpToDate>false</LinksUpToDate>
  <CharactersWithSpaces>770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2025-10-21T07:54:00Z</dcterms:created>
  <dc:creator>z</dc:creator>
  <cp:lastModifiedBy>旭</cp:lastModifiedBy>
  <dcterms:modified xsi:type="dcterms:W3CDTF">2025-10-21T08:08:42Z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eyJoZGlkIjoiOGNiYzkwZjc3MzE0MzU3MTEwOWU1NDM4NjYxNzVlN2YiLCJ1c2VySWQiOiI2ODk4ODIzNjAifQ==</vt:lpwstr>
  </property>
  <property fmtid="{D5CDD505-2E9C-101B-9397-08002B2CF9AE}" pid="4" name="ICV">
    <vt:lpwstr>14D7DBCEFE554B81B9FFDAE6C9FDCA46_12</vt:lpwstr>
  </property>
</Properties>
</file>