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7"/>
          <w:rFonts w:hint="eastAsia" w:ascii="黑体" w:hAnsi="黑体" w:eastAsia="黑体" w:cs="黑体"/>
          <w:b/>
          <w:bCs/>
          <w:i w:val="0"/>
          <w:caps w:val="0"/>
          <w:color w:val="000000"/>
          <w:spacing w:val="0"/>
          <w:kern w:val="0"/>
          <w:sz w:val="30"/>
          <w:szCs w:val="30"/>
          <w:lang w:val="en-US" w:eastAsia="zh-CN" w:bidi="ar"/>
        </w:rPr>
      </w:pPr>
      <w:r>
        <w:rPr>
          <w:rStyle w:val="7"/>
          <w:rFonts w:hint="eastAsia" w:ascii="黑体" w:hAnsi="黑体" w:eastAsia="黑体" w:cs="黑体"/>
          <w:b/>
          <w:bCs/>
          <w:i w:val="0"/>
          <w:caps w:val="0"/>
          <w:color w:val="000000"/>
          <w:spacing w:val="0"/>
          <w:kern w:val="0"/>
          <w:sz w:val="30"/>
          <w:szCs w:val="30"/>
          <w:lang w:val="en-US" w:eastAsia="zh-CN" w:bidi="ar"/>
        </w:rPr>
        <w:t>山东理工职业学院2019年单独招生（第二批）章程</w:t>
      </w:r>
    </w:p>
    <w:p>
      <w:pPr>
        <w:shd w:val="clear" w:color="auto" w:fill="FFFFFF"/>
        <w:adjustRightInd/>
        <w:snapToGrid/>
        <w:spacing w:after="0" w:line="360" w:lineRule="auto"/>
        <w:jc w:val="center"/>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为积极探索多种形式选拔学生的机制，根据《高校考试招生管理工作八项基本要求》（鲁教招字[2019]2号）及山东省教育厅等11部门关于印发《山东省高等职业院校扩招实施方案》的通知要求，我院在部分专业中实施第二批单独招生，结合我院实际，制定本章程。</w:t>
      </w:r>
    </w:p>
    <w:p>
      <w:pPr>
        <w:shd w:val="clear" w:color="auto" w:fill="FFFFFF"/>
        <w:adjustRightInd/>
        <w:snapToGrid/>
        <w:spacing w:after="0" w:line="360" w:lineRule="auto"/>
        <w:ind w:firstLine="645"/>
        <w:jc w:val="both"/>
        <w:rPr>
          <w:rFonts w:ascii="Times New Roman" w:hAnsi="Times New Roman" w:eastAsia="宋体" w:cs="Times New Roman"/>
          <w:color w:val="000000"/>
          <w:sz w:val="21"/>
          <w:szCs w:val="21"/>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bidi="ar"/>
        </w:rPr>
      </w:pPr>
      <w:r>
        <w:rPr>
          <w:rFonts w:hint="eastAsia" w:ascii="仿宋" w:hAnsi="仿宋" w:eastAsia="仿宋" w:cs="仿宋"/>
          <w:b/>
          <w:bCs/>
          <w:i w:val="0"/>
          <w:caps w:val="0"/>
          <w:color w:val="000000"/>
          <w:spacing w:val="0"/>
          <w:kern w:val="0"/>
          <w:sz w:val="28"/>
          <w:szCs w:val="28"/>
          <w:lang w:bidi="ar"/>
        </w:rPr>
        <w:t>一、学院简介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（一）学校全称：山东理工职业学院,国标代码：14242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（二）学校地址：济宁市太白湖区济宁大道37号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（三）办学类型：公办全日制普通高校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培养层次：高职（专科）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(五) 学校简介：山东理工职业学院位于山东省济宁市，是山东省人民政府批准的普通高等职业院校。学校始建于1950年，为山东省高等教育技能型特色名校，山东省第二批优质高等职业院校建设工程立项建设单位。学院牢牢把握内涵发展、持续发展和科学发展这个主基调，按照“世界眼光、国际标准、特色办学、职教报国”的发展理念，走特色化办学、集团化办学、国际化办学和产学研结合办学的路子。确立“立足济宁、面向鲁南、服务山东”的办学定位，明确“把学院打造成办学优势突出、办学特色鲜明、人才培养质量高、社会服务能力强，具有示范引领和辐射带动作用的省级技能型特色名校”的办学目标，坚持“质量立校、特色兴校、人才强校”的办学理念，加强内涵建设，深化人才培养模式改革，对接区域产业结构,调整优化重点专业布局，形成了以新兴战略产业、先进制造业和现代服务业为主要服务方向，以煤炭化工类、光伏发电类专业为特色，以机、电、制造类专业为重点，工、管、经协调发展、布局合理的专业体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占地1304亩，建筑面积35万平方米，专任教师和外聘教师1249人；教学仪器总值：14189.67万元；图书135.04万册；固定资产总值达8亿元。校内实践教学基地176个，校外实习实训基地333个。设有机电工程学院（中德智能制造国际学院）、汽车工程学院（中德诺浩汽车学院）、航空学院、航海学院、旅游学院、金融会计学院（互联网金融学院）、商学院（儒商学院）、光电工程学院（晶科（中国）光伏科技学院）、化工新材料工程学院（生态环境工程学院）、软件工程学院（慧与大数据学院）、建筑工程学院、文创艺术学院、中医颐养学院、知识产权学院、国际教育学院、创业学院、马克思主义学院、公共课教学部等18个二级学院和教学院部。学院开设对接区域战略性新兴产业、高端装备制造业、现代服务业9个专业集群，49个专业。全日制在校生16000余人，有来自34个国家的留学生200余人。依托千亩校园建成的学院“天工园景区”被评为国家AAA级旅游景区，绿色生态校园被评为济宁十大优秀建筑群之首，为师生工作学习提供了良好的环境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注重职业素质培养，实行“双证书”（学历文凭和职业资格证书）培养模式，在全国、全省职业技能大赛中屡获大奖。学院在全国高职院校中率先开展校企合作办学，实施“订单式”培养模式，保障毕业生优质就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精准扶贫工程。我院利用自身办学优势，结合我院实际情况，帮助贫困家庭子女接受职业教育，实施教育精准扶贫，对山东省建档立卡的困难家庭学生免除学费。学院与用人单位签订培养协议，实施订单培养，确保困难家庭学生就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退役士兵就读高职院校期间免除学费、住宿费</w:t>
      </w:r>
      <w:r>
        <w:rPr>
          <w:rFonts w:hint="eastAsia" w:ascii="仿宋" w:hAnsi="仿宋" w:eastAsia="仿宋" w:cs="仿宋"/>
          <w:b w:val="0"/>
          <w:i w:val="0"/>
          <w:caps w:val="0"/>
          <w:color w:val="000000"/>
          <w:spacing w:val="0"/>
          <w:kern w:val="0"/>
          <w:sz w:val="24"/>
          <w:szCs w:val="24"/>
          <w:lang w:val="en-US" w:eastAsia="zh-CN" w:bidi="ar"/>
        </w:rPr>
        <w:t>并</w:t>
      </w:r>
      <w:r>
        <w:rPr>
          <w:rFonts w:hint="eastAsia" w:ascii="仿宋" w:hAnsi="仿宋" w:eastAsia="仿宋" w:cs="仿宋"/>
          <w:b w:val="0"/>
          <w:i w:val="0"/>
          <w:caps w:val="0"/>
          <w:color w:val="000000"/>
          <w:spacing w:val="0"/>
          <w:kern w:val="0"/>
          <w:sz w:val="24"/>
          <w:szCs w:val="24"/>
          <w:lang w:val="en-US" w:bidi="ar"/>
        </w:rPr>
        <w:t>由省财政按每人每月400元标准给予生活费补助（每年补助10个月，寒暑假除外），补助期限为3年。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近几年取得的荣誉：山东省技能型人才培养特色名校、山东省第二批优质高等职业院校建设工程立项建设单位、2017年度高等职业院校国际影响力50强、2018亚太职业院校影响力50强、2018年山东高校最佳社会声誉奖、中华全国供销总社系统教育改革示范院校、中德诺浩高技能汽车人才培养国家级教师培训示范基地、山东省船员培训基地、省级文明单位、全国光伏农业特别贡献教育奖、山东省职业教育先进集体等。</w:t>
      </w:r>
    </w:p>
    <w:p>
      <w:pPr>
        <w:shd w:val="clear" w:color="auto" w:fill="FFFFFF"/>
        <w:adjustRightInd/>
        <w:snapToGrid/>
        <w:spacing w:after="0" w:line="360" w:lineRule="auto"/>
        <w:ind w:firstLine="420" w:firstLineChars="200"/>
        <w:rPr>
          <w:rFonts w:ascii="Times New Roman" w:hAnsi="Times New Roman" w:eastAsia="宋体" w:cs="Times New Roman"/>
          <w:sz w:val="21"/>
          <w:szCs w:val="21"/>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bidi="ar"/>
        </w:rPr>
      </w:pPr>
      <w:r>
        <w:rPr>
          <w:rFonts w:hint="eastAsia" w:ascii="仿宋" w:hAnsi="仿宋" w:eastAsia="仿宋" w:cs="仿宋"/>
          <w:b/>
          <w:bCs/>
          <w:i w:val="0"/>
          <w:caps w:val="0"/>
          <w:color w:val="000000"/>
          <w:spacing w:val="0"/>
          <w:kern w:val="0"/>
          <w:sz w:val="28"/>
          <w:szCs w:val="28"/>
          <w:lang w:bidi="ar"/>
        </w:rPr>
        <w:t>二、报考对象和报考条件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（一）招生对象。高中阶段学校（含普通高中、职业高中、职业 中专、普通中专、成人中专、技工学校，下同）应届毕业生、退 役军人、下岗失业人员、农民工、农民、在岗职工等。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（二）单独招生（第二批）计划分为普通类、退役军人类、技术技能类。普通类面向高中阶段学校应届毕业生；招生形式以高职院校单独招生为主。设 A、B、C 三个类别，单列招生计划、分类别招生。其中， A 类计划主要招收高中阶段应届毕业生，B 类计划主要招收退役 军人，C 类计划主要招收下岗失业人员、农民工、农民、在岗职工等。高中阶段应届毕业生不能报考 B 类、C 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（三）报名条件。第二批单招是组织一批新生源报名，具有山东省户籍或在山东务工（需提供 6个月以上劳动合同证明）、具有高中阶段学历或同等学力人员；非山东省户籍的就业人员随迁子女（含进城务工人员随迁子女）应具有山东省高中段学校学籍及完整学习经历，并合格毕业。已参加 2019 年我省春季高考或夏季高考考试的考生，不再参加本次单独招生报名及考试。其中如有按春季高考报名考生的单招报考类别，必须与春季高考所报专业类别一致。应届生只能报普通类（含普通高中、职业高中、职业中专、普通中专、成人中专、技工学校），往届生可自主选择报普通类或技术技能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四）退役军人类面向具有我省户籍的退役军人，不受退役年限限制；技术技能类面向我省下岗失业人员、农民工、农民、在岗职工。退役军人、下岗失业人员、农民工、农民、在岗职工等群体按省教育厅有关规定报考。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（五）思想政治品德和身体健康状况的要求，均按照《2019年普通高等学校招生工作规定》、《普通高等学校招生体检工作指导意见》执行。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（六）航海技术、轮机工程专业只招男生，其他各专业招收男女生的比例不限。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七）免试条件。在校期间参加全国及全省职业院校技能大赛获得三等奖及以上奖项的中等职业学校的应届毕业生，或具有高级工及以上职业资格、获得县级以上劳动模范（含同等荣誉）称号并具有中等职业教育学历的在职在岗人员，可直接向我院提出录取申请，经我院同意并公示无异议后，报省教育招生考试院审核，办理录取手续，考生直接可申请进入对应专业学习。具体办法见本方案第九条。</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bidi="ar"/>
        </w:rPr>
      </w:pPr>
      <w:r>
        <w:rPr>
          <w:rFonts w:hint="eastAsia" w:ascii="仿宋" w:hAnsi="仿宋" w:eastAsia="仿宋" w:cs="仿宋"/>
          <w:b/>
          <w:bCs/>
          <w:i w:val="0"/>
          <w:caps w:val="0"/>
          <w:color w:val="000000"/>
          <w:spacing w:val="0"/>
          <w:kern w:val="0"/>
          <w:sz w:val="28"/>
          <w:szCs w:val="28"/>
          <w:lang w:eastAsia="zh-CN" w:bidi="ar"/>
        </w:rPr>
        <w:t>三、</w:t>
      </w:r>
      <w:r>
        <w:rPr>
          <w:rFonts w:hint="eastAsia" w:ascii="仿宋" w:hAnsi="仿宋" w:eastAsia="仿宋" w:cs="仿宋"/>
          <w:b/>
          <w:bCs/>
          <w:i w:val="0"/>
          <w:caps w:val="0"/>
          <w:color w:val="000000"/>
          <w:spacing w:val="0"/>
          <w:kern w:val="0"/>
          <w:sz w:val="28"/>
          <w:szCs w:val="28"/>
          <w:lang w:bidi="ar"/>
        </w:rPr>
        <w:t>报名方法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（一）资格审核及报名。各设区的市组织各县（市、区）结合“一次办好”，提供“一站式”服务。由县级人民政府牵头，教育、公安、人力资源社会保障、农业农村、退役军人事务、工会等相 关部门参加，于 8 月 3 日—6 日（每天工作时间 9:00-17:00）在所在县（市、区）集中办公，集中开展学生资格审核、报名及高 考报名费缴纳工作。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符合报名条件的考生只能选报其中一所院校。学院根据山东省物价局、山东省财政厅《关于调整普通高校招生考试收费标准批复》（鲁价费函[2017]62号）文件规定的各项收费标准，收取报名考试费：报名费40元/生，文化课（语文、数学、英语）考试费30元/每科/生，专业技能测试费40元/生，合计170元/生。退役军人、下岗失业人员、农民工、农民、在岗职工等群体按省教育厅有关规定交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对于已经报名而未能参加学院单独招生考试的考生，学院单独招生考试完毕后，经过核实，由未参加考试考生携带交费证明到我院财务处进行退费。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（二）填报志愿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1、志愿填报。考生需登录省教育招生考试院高职单招填报志 愿平台（网址：http://wsbm.sdzk.cn/gzdz/）填报志愿。考生 可填报两次志愿，第 1 次为首次志愿，志愿填报时间为 8 月 9 日 -11 日（每天 8:00—20:00）；第 2 次为征集志愿，志愿填报时间为 9 月 12 日（8:00—20:00）。首次志愿和征集志愿均填报“1 个学校+1个专业（类）”志愿；征集志愿同时填报院校、专业是否服从调剂志愿。首次志愿填报结束后，考生根据各试点院校招生章程要求，到首次志愿学校缴纳考试费用、打印准考证并参加考试。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2、本次高职单招报名需要使用手机短信验证密码验证考生身份。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3、首次登录时，请点击“短信验证密码”旁的“点击发送”将短信验证密 码发送到高考报名预留手机上。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4、该短信验证密码在本次高职单招期间有效，请妥善保管，再次登录仍需 使用；切勿告诉他人以防信息泄露。</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5、若无法收到或遗失该短信验证密码，请联系学院招生工作处（0537-3617788）申请协助解决。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（三）资格审核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8月25日在我校招生信息网公布经审核合格（初审）的考生名单，初审合格的考生到我校进行现场确认。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（四）现场信息确认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1、时间：考生于8月26日17：00前到我校现场办理“信息确认”手续，交验有关材料，确认本人报名信息、查看考场。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2、地点：济宁市太白湖新区济宁大道37号，山东理工职业学院东广场。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3、材料：现场确认时需交验考生本人身份证原件，并交复印件一份（或当地公安机关出具的身份证明或其他材料，证明材料必须真实有效。）</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四、招生计划</w:t>
      </w:r>
    </w:p>
    <w:tbl>
      <w:tblPr>
        <w:tblStyle w:val="5"/>
        <w:tblW w:w="8620" w:type="dxa"/>
        <w:tblInd w:w="93" w:type="dxa"/>
        <w:tblLayout w:type="fixed"/>
        <w:tblCellMar>
          <w:top w:w="0" w:type="dxa"/>
          <w:left w:w="108" w:type="dxa"/>
          <w:bottom w:w="0" w:type="dxa"/>
          <w:right w:w="108" w:type="dxa"/>
        </w:tblCellMar>
      </w:tblPr>
      <w:tblGrid>
        <w:gridCol w:w="1858"/>
        <w:gridCol w:w="3982"/>
        <w:gridCol w:w="1100"/>
        <w:gridCol w:w="800"/>
        <w:gridCol w:w="880"/>
      </w:tblGrid>
      <w:tr>
        <w:tblPrEx>
          <w:tblLayout w:type="fixed"/>
          <w:tblCellMar>
            <w:top w:w="0" w:type="dxa"/>
            <w:left w:w="108" w:type="dxa"/>
            <w:bottom w:w="0" w:type="dxa"/>
            <w:right w:w="108" w:type="dxa"/>
          </w:tblCellMar>
        </w:tblPrEx>
        <w:trPr>
          <w:trHeight w:val="480" w:hRule="atLeast"/>
        </w:trPr>
        <w:tc>
          <w:tcPr>
            <w:tcW w:w="18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二级学院</w:t>
            </w:r>
          </w:p>
        </w:tc>
        <w:tc>
          <w:tcPr>
            <w:tcW w:w="39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szCs w:val="28"/>
              </w:rPr>
            </w:pPr>
            <w:r>
              <w:rPr>
                <w:rFonts w:hint="eastAsia" w:cs="Tahoma" w:asciiTheme="minorEastAsia" w:hAnsiTheme="minorEastAsia" w:eastAsiaTheme="minorEastAsia"/>
                <w:color w:val="000000"/>
                <w:sz w:val="24"/>
                <w:szCs w:val="28"/>
              </w:rPr>
              <w:t>招生专业</w:t>
            </w:r>
          </w:p>
        </w:tc>
        <w:tc>
          <w:tcPr>
            <w:tcW w:w="2780" w:type="dxa"/>
            <w:gridSpan w:val="3"/>
            <w:tcBorders>
              <w:top w:val="single" w:color="auto" w:sz="4" w:space="0"/>
              <w:left w:val="nil"/>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szCs w:val="28"/>
              </w:rPr>
            </w:pPr>
            <w:r>
              <w:rPr>
                <w:rFonts w:hint="eastAsia" w:cs="Tahoma" w:asciiTheme="minorEastAsia" w:hAnsiTheme="minorEastAsia" w:eastAsiaTheme="minorEastAsia"/>
                <w:color w:val="000000"/>
                <w:sz w:val="24"/>
                <w:szCs w:val="28"/>
              </w:rPr>
              <w:t>单独招生计划</w:t>
            </w:r>
          </w:p>
        </w:tc>
      </w:tr>
      <w:tr>
        <w:tblPrEx>
          <w:tblLayout w:type="fixed"/>
          <w:tblCellMar>
            <w:top w:w="0" w:type="dxa"/>
            <w:left w:w="108" w:type="dxa"/>
            <w:bottom w:w="0" w:type="dxa"/>
            <w:right w:w="108" w:type="dxa"/>
          </w:tblCellMar>
        </w:tblPrEx>
        <w:trPr>
          <w:trHeight w:val="855" w:hRule="atLeast"/>
        </w:trPr>
        <w:tc>
          <w:tcPr>
            <w:tcW w:w="1858"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ind w:left="0"/>
              <w:rPr>
                <w:rFonts w:cs="Tahoma" w:asciiTheme="minorEastAsia" w:hAnsiTheme="minorEastAsia" w:eastAsiaTheme="minorEastAsia"/>
                <w:color w:val="000000"/>
                <w:sz w:val="24"/>
              </w:rPr>
            </w:pPr>
          </w:p>
        </w:tc>
        <w:tc>
          <w:tcPr>
            <w:tcW w:w="3982"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ind w:left="0"/>
              <w:rPr>
                <w:rFonts w:cs="Tahoma" w:asciiTheme="minorEastAsia" w:hAnsiTheme="minorEastAsia" w:eastAsiaTheme="minorEastAsia"/>
                <w:color w:val="000000"/>
                <w:sz w:val="24"/>
                <w:szCs w:val="28"/>
              </w:rPr>
            </w:pPr>
          </w:p>
        </w:tc>
        <w:tc>
          <w:tcPr>
            <w:tcW w:w="1100" w:type="dxa"/>
            <w:tcBorders>
              <w:top w:val="nil"/>
              <w:left w:val="nil"/>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普通类（文理兼收）</w:t>
            </w:r>
          </w:p>
        </w:tc>
        <w:tc>
          <w:tcPr>
            <w:tcW w:w="800" w:type="dxa"/>
            <w:tcBorders>
              <w:top w:val="nil"/>
              <w:left w:val="nil"/>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退役士兵类</w:t>
            </w:r>
          </w:p>
        </w:tc>
        <w:tc>
          <w:tcPr>
            <w:tcW w:w="880" w:type="dxa"/>
            <w:tcBorders>
              <w:top w:val="nil"/>
              <w:left w:val="nil"/>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技术技能类</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机电工程学院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机电一体化技术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无人机应用技术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5</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40</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汽车工程学院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汽车检测与维修技术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5</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40</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汽车检测与维修技术(中外合作中德诺浩)</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20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航海学院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航海技术（校企合作山东省船员培训中心男生）</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轮机工程技术（校企合作山东省船员培训中心男生）</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旅游管理（校企合作山东省船员培训中心国际邮轮乘务管理）</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旅游管理学院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酒店管理（订单培养舜和酒店免三年学费）</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酒店管理（订单培养蓝海酒店资助一年学费）</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酒店管理</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570" w:hRule="atLeast"/>
        </w:trPr>
        <w:tc>
          <w:tcPr>
            <w:tcW w:w="1858" w:type="dxa"/>
            <w:tcBorders>
              <w:top w:val="nil"/>
              <w:left w:val="single" w:color="auto" w:sz="4" w:space="0"/>
              <w:bottom w:val="single" w:color="auto" w:sz="4" w:space="0"/>
              <w:right w:val="single" w:color="auto" w:sz="4" w:space="0"/>
            </w:tcBorders>
            <w:shd w:val="clear" w:color="auto" w:fill="auto"/>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软件工程学院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计算机应用技术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光电工程学院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光伏发电技术与应用</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10</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30</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光伏材料制备技术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建筑工程学院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建筑工程技术</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10</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40</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安全技术与管理（建筑工程方向）</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10</w:t>
            </w:r>
          </w:p>
        </w:tc>
        <w:tc>
          <w:tcPr>
            <w:tcW w:w="88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30</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金融会计学院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会计</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sz w:val="24"/>
                <w:szCs w:val="20"/>
              </w:rPr>
            </w:pPr>
            <w:r>
              <w:rPr>
                <w:rFonts w:hint="eastAsia" w:cs="Tahoma" w:asciiTheme="minorEastAsia" w:hAnsiTheme="minorEastAsia" w:eastAsiaTheme="minorEastAsia"/>
                <w:sz w:val="24"/>
                <w:szCs w:val="20"/>
              </w:rPr>
              <w:t>农村金融</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tcBorders>
              <w:top w:val="nil"/>
              <w:left w:val="single" w:color="auto" w:sz="4" w:space="0"/>
              <w:bottom w:val="single" w:color="auto" w:sz="4" w:space="0"/>
              <w:right w:val="single" w:color="auto" w:sz="4" w:space="0"/>
            </w:tcBorders>
            <w:shd w:val="clear" w:color="auto" w:fill="auto"/>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商学院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sz w:val="24"/>
                <w:szCs w:val="20"/>
              </w:rPr>
            </w:pPr>
            <w:r>
              <w:rPr>
                <w:rFonts w:hint="eastAsia" w:cs="Tahoma" w:asciiTheme="minorEastAsia" w:hAnsiTheme="minorEastAsia" w:eastAsiaTheme="minorEastAsia"/>
                <w:sz w:val="24"/>
                <w:szCs w:val="20"/>
              </w:rPr>
              <w:t>电子商务</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10</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30</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文创艺术学院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产品艺术设计</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环境艺术设计</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宝玉石鉴定与加工</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jc w:val="center"/>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视觉传播设计与制作（订单培养影视表演方向）</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r>
      <w:tr>
        <w:tblPrEx>
          <w:tblLayout w:type="fixed"/>
          <w:tblCellMar>
            <w:top w:w="0" w:type="dxa"/>
            <w:left w:w="108" w:type="dxa"/>
            <w:bottom w:w="0" w:type="dxa"/>
            <w:right w:w="108" w:type="dxa"/>
          </w:tblCellMar>
        </w:tblPrEx>
        <w:trPr>
          <w:trHeight w:val="480" w:hRule="atLeast"/>
        </w:trPr>
        <w:tc>
          <w:tcPr>
            <w:tcW w:w="1858" w:type="dxa"/>
            <w:tcBorders>
              <w:top w:val="nil"/>
              <w:left w:val="single" w:color="auto" w:sz="4" w:space="0"/>
              <w:bottom w:val="single" w:color="auto" w:sz="4" w:space="0"/>
              <w:right w:val="single" w:color="auto" w:sz="4" w:space="0"/>
            </w:tcBorders>
            <w:shd w:val="clear" w:color="auto" w:fill="auto"/>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知识产权学院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知识产权管理</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restart"/>
            <w:tcBorders>
              <w:top w:val="nil"/>
              <w:left w:val="single" w:color="auto" w:sz="4" w:space="0"/>
              <w:bottom w:val="single" w:color="auto" w:sz="4" w:space="0"/>
              <w:right w:val="single" w:color="auto" w:sz="4" w:space="0"/>
            </w:tcBorders>
            <w:shd w:val="clear" w:color="auto" w:fill="auto"/>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国际教育学院</w:t>
            </w: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会计（中澳合作专升硕）</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20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计算机应用技术（中英合作办学）</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旅游管理（中国和新西兰合作办学）</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r>
        <w:tblPrEx>
          <w:tblLayout w:type="fixed"/>
          <w:tblCellMar>
            <w:top w:w="0" w:type="dxa"/>
            <w:left w:w="108" w:type="dxa"/>
            <w:bottom w:w="0" w:type="dxa"/>
            <w:right w:w="108" w:type="dxa"/>
          </w:tblCellMar>
        </w:tblPrEx>
        <w:trPr>
          <w:trHeight w:val="480" w:hRule="atLeast"/>
        </w:trPr>
        <w:tc>
          <w:tcPr>
            <w:tcW w:w="1858" w:type="dxa"/>
            <w:vMerge w:val="continue"/>
            <w:tcBorders>
              <w:top w:val="nil"/>
              <w:left w:val="single" w:color="auto" w:sz="4" w:space="0"/>
              <w:bottom w:val="single" w:color="auto" w:sz="4" w:space="0"/>
              <w:right w:val="single" w:color="auto" w:sz="4" w:space="0"/>
            </w:tcBorders>
            <w:vAlign w:val="center"/>
          </w:tcPr>
          <w:p>
            <w:pPr>
              <w:adjustRightInd/>
              <w:snapToGrid/>
              <w:spacing w:after="0"/>
              <w:ind w:left="0"/>
              <w:rPr>
                <w:rFonts w:cs="Tahoma" w:asciiTheme="minorEastAsia" w:hAnsiTheme="minorEastAsia" w:eastAsiaTheme="minorEastAsia"/>
                <w:color w:val="000000"/>
                <w:sz w:val="24"/>
              </w:rPr>
            </w:pPr>
          </w:p>
        </w:tc>
        <w:tc>
          <w:tcPr>
            <w:tcW w:w="3982" w:type="dxa"/>
            <w:tcBorders>
              <w:top w:val="nil"/>
              <w:left w:val="nil"/>
              <w:bottom w:val="single" w:color="auto" w:sz="4" w:space="0"/>
              <w:right w:val="single" w:color="auto" w:sz="4" w:space="0"/>
            </w:tcBorders>
            <w:shd w:val="clear" w:color="auto" w:fill="auto"/>
            <w:vAlign w:val="center"/>
          </w:tcPr>
          <w:p>
            <w:pPr>
              <w:adjustRightInd/>
              <w:snapToGrid/>
              <w:spacing w:after="0"/>
              <w:ind w:left="0"/>
              <w:rPr>
                <w:rFonts w:cs="Tahoma" w:asciiTheme="minorEastAsia" w:hAnsiTheme="minorEastAsia" w:eastAsiaTheme="minorEastAsia"/>
                <w:color w:val="000000"/>
                <w:sz w:val="24"/>
                <w:szCs w:val="20"/>
              </w:rPr>
            </w:pPr>
            <w:r>
              <w:rPr>
                <w:rFonts w:hint="eastAsia" w:cs="Tahoma" w:asciiTheme="minorEastAsia" w:hAnsiTheme="minorEastAsia" w:eastAsiaTheme="minorEastAsia"/>
                <w:color w:val="000000"/>
                <w:sz w:val="24"/>
                <w:szCs w:val="20"/>
              </w:rPr>
              <w:t>视觉传播设计与制作（中韩合作办学）</w:t>
            </w:r>
          </w:p>
        </w:tc>
        <w:tc>
          <w:tcPr>
            <w:tcW w:w="1100" w:type="dxa"/>
            <w:tcBorders>
              <w:top w:val="nil"/>
              <w:left w:val="nil"/>
              <w:bottom w:val="single" w:color="auto" w:sz="4" w:space="0"/>
              <w:right w:val="single" w:color="auto" w:sz="4" w:space="0"/>
            </w:tcBorders>
            <w:shd w:val="clear" w:color="auto" w:fill="auto"/>
            <w:noWrap/>
            <w:vAlign w:val="center"/>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xml:space="preserve">15 </w:t>
            </w:r>
          </w:p>
        </w:tc>
        <w:tc>
          <w:tcPr>
            <w:tcW w:w="800" w:type="dxa"/>
            <w:tcBorders>
              <w:top w:val="nil"/>
              <w:left w:val="nil"/>
              <w:bottom w:val="single" w:color="auto" w:sz="4" w:space="0"/>
              <w:right w:val="single" w:color="auto" w:sz="4" w:space="0"/>
            </w:tcBorders>
            <w:shd w:val="clear" w:color="auto" w:fill="auto"/>
            <w:noWrap/>
            <w:vAlign w:val="bottom"/>
          </w:tcPr>
          <w:p>
            <w:pPr>
              <w:adjustRightInd/>
              <w:snapToGrid/>
              <w:spacing w:after="0"/>
              <w:ind w:left="0"/>
              <w:jc w:val="center"/>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　</w:t>
            </w:r>
          </w:p>
        </w:tc>
        <w:tc>
          <w:tcPr>
            <w:tcW w:w="880" w:type="dxa"/>
            <w:tcBorders>
              <w:top w:val="nil"/>
              <w:left w:val="nil"/>
              <w:bottom w:val="single" w:color="auto" w:sz="4" w:space="0"/>
              <w:right w:val="single" w:color="auto" w:sz="4" w:space="0"/>
            </w:tcBorders>
            <w:shd w:val="clear" w:color="auto" w:fill="auto"/>
            <w:vAlign w:val="bottom"/>
          </w:tcPr>
          <w:p>
            <w:pPr>
              <w:adjustRightInd/>
              <w:snapToGrid/>
              <w:spacing w:after="0"/>
              <w:ind w:left="0"/>
              <w:jc w:val="center"/>
              <w:rPr>
                <w:rFonts w:cs="Times New Roman" w:asciiTheme="minorEastAsia" w:hAnsiTheme="minorEastAsia" w:eastAsiaTheme="minorEastAsia"/>
                <w:color w:val="000000"/>
                <w:sz w:val="24"/>
                <w:szCs w:val="32"/>
              </w:rPr>
            </w:pPr>
            <w:r>
              <w:rPr>
                <w:rFonts w:cs="Times New Roman" w:asciiTheme="minorEastAsia" w:hAnsiTheme="minorEastAsia" w:eastAsiaTheme="minorEastAsia"/>
                <w:color w:val="000000"/>
                <w:sz w:val="24"/>
                <w:szCs w:val="32"/>
              </w:rPr>
              <w:t>　</w:t>
            </w:r>
          </w:p>
        </w:tc>
      </w:tr>
    </w:tbl>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leftChars="0" w:right="0" w:firstLine="0" w:firstLineChars="0"/>
        <w:jc w:val="both"/>
        <w:textAlignment w:val="auto"/>
        <w:rPr>
          <w:rFonts w:hint="eastAsia" w:ascii="仿宋" w:hAnsi="仿宋" w:eastAsia="仿宋" w:cs="仿宋"/>
          <w:b/>
          <w:bCs/>
          <w:i w:val="0"/>
          <w:caps w:val="0"/>
          <w:color w:val="000000"/>
          <w:spacing w:val="0"/>
          <w:kern w:val="0"/>
          <w:sz w:val="28"/>
          <w:szCs w:val="28"/>
          <w:lang w:bidi="ar"/>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bidi="ar"/>
        </w:rPr>
      </w:pPr>
      <w:r>
        <w:rPr>
          <w:rFonts w:hint="eastAsia" w:ascii="仿宋" w:hAnsi="仿宋" w:eastAsia="仿宋" w:cs="仿宋"/>
          <w:b/>
          <w:bCs/>
          <w:i w:val="0"/>
          <w:caps w:val="0"/>
          <w:color w:val="000000"/>
          <w:spacing w:val="0"/>
          <w:kern w:val="0"/>
          <w:sz w:val="28"/>
          <w:szCs w:val="28"/>
          <w:lang w:bidi="ar"/>
        </w:rPr>
        <w:t>五、专业考核及成绩构成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（一）考试科目</w:t>
      </w:r>
    </w:p>
    <w:tbl>
      <w:tblPr>
        <w:tblStyle w:val="5"/>
        <w:tblW w:w="9540" w:type="dxa"/>
        <w:tblInd w:w="90" w:type="dxa"/>
        <w:shd w:val="clear" w:color="auto" w:fill="FFFFFF"/>
        <w:tblLayout w:type="fixed"/>
        <w:tblCellMar>
          <w:top w:w="0" w:type="dxa"/>
          <w:left w:w="0" w:type="dxa"/>
          <w:bottom w:w="0" w:type="dxa"/>
          <w:right w:w="0" w:type="dxa"/>
        </w:tblCellMar>
      </w:tblPr>
      <w:tblGrid>
        <w:gridCol w:w="1575"/>
        <w:gridCol w:w="2437"/>
        <w:gridCol w:w="1815"/>
        <w:gridCol w:w="1985"/>
        <w:gridCol w:w="1543"/>
        <w:gridCol w:w="185"/>
      </w:tblGrid>
      <w:tr>
        <w:tblPrEx>
          <w:shd w:val="clear" w:color="auto" w:fill="FFFFFF"/>
          <w:tblLayout w:type="fixed"/>
          <w:tblCellMar>
            <w:top w:w="0" w:type="dxa"/>
            <w:left w:w="0" w:type="dxa"/>
            <w:bottom w:w="0" w:type="dxa"/>
            <w:right w:w="0" w:type="dxa"/>
          </w:tblCellMar>
        </w:tblPrEx>
        <w:trPr>
          <w:trHeight w:val="315" w:hRule="atLeast"/>
        </w:trPr>
        <w:tc>
          <w:tcPr>
            <w:tcW w:w="1575" w:type="dxa"/>
            <w:vMerge w:val="restart"/>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学院名称</w:t>
            </w:r>
          </w:p>
        </w:tc>
        <w:tc>
          <w:tcPr>
            <w:tcW w:w="2437"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专业名称</w:t>
            </w:r>
          </w:p>
        </w:tc>
        <w:tc>
          <w:tcPr>
            <w:tcW w:w="1815"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考试形式</w:t>
            </w:r>
          </w:p>
        </w:tc>
        <w:tc>
          <w:tcPr>
            <w:tcW w:w="1985"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文化科</w:t>
            </w:r>
          </w:p>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测试内容</w:t>
            </w:r>
          </w:p>
        </w:tc>
        <w:tc>
          <w:tcPr>
            <w:tcW w:w="1543"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专业素养</w:t>
            </w:r>
          </w:p>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测试内容</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315" w:hRule="atLeast"/>
        </w:trPr>
        <w:tc>
          <w:tcPr>
            <w:tcW w:w="1575"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815"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985" w:type="dxa"/>
            <w:vMerge w:val="continue"/>
            <w:tcBorders>
              <w:top w:val="single" w:color="auto" w:sz="6" w:space="0"/>
              <w:left w:val="nil"/>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1543"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315" w:hRule="atLeast"/>
        </w:trPr>
        <w:tc>
          <w:tcPr>
            <w:tcW w:w="1575"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815"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985" w:type="dxa"/>
            <w:vMerge w:val="continue"/>
            <w:tcBorders>
              <w:top w:val="single" w:color="auto" w:sz="6" w:space="0"/>
              <w:left w:val="nil"/>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1543" w:type="dxa"/>
            <w:vMerge w:val="continue"/>
            <w:tcBorders>
              <w:top w:val="single" w:color="auto" w:sz="6" w:space="0"/>
              <w:left w:val="nil"/>
              <w:bottom w:val="single" w:color="auto" w:sz="6" w:space="0"/>
              <w:right w:val="single" w:color="auto" w:sz="6" w:space="0"/>
            </w:tcBorders>
            <w:shd w:val="clear" w:color="auto" w:fill="FFFFFF"/>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机电工程学院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机电一体化技术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31"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机电一体化技术（教育部学徒制班）</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数控技术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数控技术（教育部学徒制班）</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机械制造与自动化</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机械制造与自动化（订单培养山推、中国重汽）</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无人机应用技术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无人机应用技术（校企合作山东好奇网络科技公司）</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工业机器人技术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29"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汽车工程学院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汽车检测与维修技术(中外合作中德诺浩)</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汽车检测与维修技术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汽车营销与服务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新能源汽车技术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新能源汽车技术(校企合作中德诺浩)</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航空学院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空中乘务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843"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空中乘务（澳大利亚分校一年）</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801"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空中乘务（校企合作中航天使）</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43"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飞机机电设备维修</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飞机机电设备维修（澳大利亚分校一年）</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10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飞机机电设备维修（校企合作北京东方祥云航空科技）</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安全技术与管理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310" w:hRule="atLeast"/>
        </w:trPr>
        <w:tc>
          <w:tcPr>
            <w:tcW w:w="1575" w:type="dxa"/>
            <w:vMerge w:val="restart"/>
            <w:tcBorders>
              <w:top w:val="nil"/>
              <w:left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航海学院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航海技术（校企合作山东省船员培训中心男生）</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轮机工程技术（校企合作山东省船员培训中心男生）</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旅游管理（校企合作山东省船员培训中心国际邮轮乘务管理）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旅游学院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旅游管理（订单培养青岛汇智高铁乘务）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旅游管理（校企合作商鲲高铁乘务方向）</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旅游管理（订单培养泰安方特资助一年学费）</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酒店管理（订单培养舜和酒店免三年学费）</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酒店管理（订单培养蓝海酒店资助一年学费）</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酒店管理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230"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软件工程学院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sz w:val="21"/>
                <w:szCs w:val="21"/>
              </w:rPr>
            </w:pPr>
            <w:r>
              <w:rPr>
                <w:rFonts w:hint="eastAsia" w:cs="Tahoma" w:asciiTheme="minorEastAsia" w:hAnsiTheme="minorEastAsia" w:eastAsiaTheme="minorEastAsia"/>
                <w:sz w:val="21"/>
                <w:szCs w:val="21"/>
              </w:rPr>
              <w:t>大数据技术与应用</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计算机应用技术(校企合作甲骨文订单）</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计算机应用技术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23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计算机网络技术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23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计算机网络技术(校企合作中兴通讯订单）</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23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信息安全与管理(校企合作中标麒麟订单）</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4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sz w:val="21"/>
                <w:szCs w:val="21"/>
              </w:rPr>
            </w:pPr>
            <w:r>
              <w:rPr>
                <w:rFonts w:hint="eastAsia" w:cs="Tahoma" w:asciiTheme="minorEastAsia" w:hAnsiTheme="minorEastAsia" w:eastAsiaTheme="minorEastAsia"/>
                <w:sz w:val="21"/>
                <w:szCs w:val="21"/>
              </w:rPr>
              <w:t>软件技术（订单培养慧与济宁公司）</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3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物联网应用技术(校企合作甲骨文订单）</w:t>
            </w:r>
          </w:p>
        </w:tc>
        <w:tc>
          <w:tcPr>
            <w:tcW w:w="1815" w:type="dxa"/>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光电工程学院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光伏发电技术与应用</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73"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光伏发电技术与应用（订单培养晶科能源）</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31"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光伏材料制备技术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光伏材料制备技术（订单培养晶科能源）</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电气自动化技术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化工与新材料工程学院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环境工程技术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应用化工技术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药品生产技术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建筑工程学院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工程造价</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建筑工程技术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right w:val="single" w:color="auto" w:sz="6" w:space="0"/>
            </w:tcBorders>
            <w:shd w:val="clear" w:color="auto" w:fill="FFFFFF"/>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金融会计学院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会计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sz w:val="21"/>
                <w:szCs w:val="21"/>
              </w:rPr>
            </w:pPr>
            <w:r>
              <w:rPr>
                <w:rFonts w:hint="eastAsia" w:cs="Tahoma" w:asciiTheme="minorEastAsia" w:hAnsiTheme="minorEastAsia" w:eastAsiaTheme="minorEastAsia"/>
                <w:sz w:val="21"/>
                <w:szCs w:val="21"/>
              </w:rPr>
              <w:t>农村金融</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财务管理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firstLine="315" w:firstLineChars="150"/>
              <w:jc w:val="center"/>
              <w:rPr>
                <w:rFonts w:cs="Times New Roman" w:asciiTheme="minorEastAsia" w:hAnsiTheme="minorEastAsia" w:eastAsiaTheme="minorEastAsia"/>
                <w:color w:val="000000"/>
                <w:sz w:val="21"/>
                <w:szCs w:val="21"/>
              </w:rPr>
            </w:pPr>
          </w:p>
          <w:p>
            <w:pPr>
              <w:spacing w:line="360" w:lineRule="auto"/>
              <w:ind w:left="0" w:firstLine="315" w:firstLineChars="150"/>
              <w:jc w:val="center"/>
              <w:rPr>
                <w:rFonts w:cs="Times New Roman" w:asciiTheme="minorEastAsia" w:hAnsiTheme="minorEastAsia" w:eastAsiaTheme="minorEastAsia"/>
                <w:color w:val="000000"/>
                <w:sz w:val="21"/>
                <w:szCs w:val="21"/>
              </w:rPr>
            </w:pPr>
          </w:p>
          <w:p>
            <w:pPr>
              <w:spacing w:line="360" w:lineRule="auto"/>
              <w:ind w:left="0" w:firstLine="315" w:firstLineChars="150"/>
              <w:jc w:val="center"/>
              <w:rPr>
                <w:rFonts w:cs="Times New Roman" w:asciiTheme="minorEastAsia" w:hAnsiTheme="minorEastAsia" w:eastAsiaTheme="minorEastAsia"/>
                <w:color w:val="000000"/>
                <w:sz w:val="21"/>
                <w:szCs w:val="21"/>
              </w:rPr>
            </w:pPr>
          </w:p>
          <w:p>
            <w:pPr>
              <w:spacing w:line="360" w:lineRule="auto"/>
              <w:ind w:left="0" w:firstLine="315" w:firstLineChars="15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商学院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sz w:val="21"/>
                <w:szCs w:val="21"/>
              </w:rPr>
            </w:pPr>
            <w:r>
              <w:rPr>
                <w:rFonts w:hint="eastAsia" w:cs="Tahoma" w:asciiTheme="minorEastAsia" w:hAnsiTheme="minorEastAsia" w:eastAsiaTheme="minorEastAsia"/>
                <w:sz w:val="21"/>
                <w:szCs w:val="21"/>
              </w:rPr>
              <w:t>市场营销</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spacing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sz w:val="21"/>
                <w:szCs w:val="21"/>
              </w:rPr>
            </w:pPr>
            <w:r>
              <w:rPr>
                <w:rFonts w:hint="eastAsia" w:cs="Tahoma" w:asciiTheme="minorEastAsia" w:hAnsiTheme="minorEastAsia" w:eastAsiaTheme="minorEastAsia"/>
                <w:sz w:val="21"/>
                <w:szCs w:val="21"/>
              </w:rPr>
              <w:t>电子商务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spacing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电子商务(校企合作山东网商订单班）</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电子商务（校企合作北京中标麒麟淘宝创业订单班）</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continue"/>
            <w:tcBorders>
              <w:left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电子商务（校企合作北京中标麒麟电商技术订单班）</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物流管理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795" w:hRule="atLeast"/>
        </w:trPr>
        <w:tc>
          <w:tcPr>
            <w:tcW w:w="157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文创艺术学院</w:t>
            </w:r>
          </w:p>
        </w:tc>
        <w:tc>
          <w:tcPr>
            <w:tcW w:w="243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视觉传播设计与制作（装潢艺术设计）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视觉传播设计与制作（订单培养影视表演方向）</w:t>
            </w:r>
          </w:p>
        </w:tc>
        <w:tc>
          <w:tcPr>
            <w:tcW w:w="18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产品艺术设计</w:t>
            </w:r>
          </w:p>
        </w:tc>
        <w:tc>
          <w:tcPr>
            <w:tcW w:w="18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环境艺术设计</w:t>
            </w:r>
          </w:p>
        </w:tc>
        <w:tc>
          <w:tcPr>
            <w:tcW w:w="18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99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宝玉石鉴定与加工</w:t>
            </w:r>
          </w:p>
        </w:tc>
        <w:tc>
          <w:tcPr>
            <w:tcW w:w="181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230" w:hRule="atLeast"/>
        </w:trPr>
        <w:tc>
          <w:tcPr>
            <w:tcW w:w="1575" w:type="dxa"/>
            <w:vMerge w:val="continue"/>
            <w:tcBorders>
              <w:top w:val="nil"/>
              <w:left w:val="single" w:color="auto" w:sz="6" w:space="0"/>
              <w:bottom w:val="single" w:color="auto" w:sz="6" w:space="0"/>
              <w:right w:val="single" w:color="auto" w:sz="6" w:space="0"/>
            </w:tcBorders>
            <w:shd w:val="clear" w:color="auto" w:fill="FFFFFF"/>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视觉传播设计与制作（装潢艺术设计）</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中医颐养学院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中医康复技术</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restart"/>
            <w:tcBorders>
              <w:top w:val="nil"/>
              <w:left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知识产权学院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知识产权管理</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continue"/>
            <w:tcBorders>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jc w:val="center"/>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知识产权管理（订单培养盛凡知识产权公司）</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restart"/>
            <w:tcBorders>
              <w:top w:val="nil"/>
              <w:left w:val="single" w:color="auto" w:sz="6" w:space="0"/>
              <w:right w:val="single" w:color="auto" w:sz="6" w:space="0"/>
            </w:tcBorders>
            <w:shd w:val="clear" w:color="auto" w:fill="FFFFFF"/>
            <w:tcMar>
              <w:top w:w="0" w:type="dxa"/>
              <w:left w:w="105" w:type="dxa"/>
              <w:bottom w:w="0" w:type="dxa"/>
              <w:right w:w="105" w:type="dxa"/>
            </w:tcMar>
            <w:vAlign w:val="center"/>
          </w:tcPr>
          <w:p>
            <w:pPr>
              <w:spacing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国际教育学院</w:t>
            </w: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会计（中澳合作专升硕）</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continue"/>
            <w:tcBorders>
              <w:top w:val="nil"/>
              <w:left w:val="single" w:color="auto" w:sz="6" w:space="0"/>
              <w:right w:val="single" w:color="auto" w:sz="6" w:space="0"/>
            </w:tcBorders>
            <w:shd w:val="clear" w:color="auto" w:fill="FFFFFF"/>
            <w:tcMar>
              <w:top w:w="0" w:type="dxa"/>
              <w:left w:w="105" w:type="dxa"/>
              <w:bottom w:w="0" w:type="dxa"/>
              <w:right w:w="105" w:type="dxa"/>
            </w:tcMar>
          </w:tcPr>
          <w:p>
            <w:pPr>
              <w:spacing w:line="360" w:lineRule="auto"/>
              <w:jc w:val="both"/>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计算机应用技术（中英合作办学）</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continue"/>
            <w:tcBorders>
              <w:left w:val="single" w:color="auto" w:sz="6" w:space="0"/>
              <w:right w:val="single" w:color="auto" w:sz="6" w:space="0"/>
            </w:tcBorders>
            <w:shd w:val="clear" w:color="auto" w:fill="FFFFFF"/>
            <w:tcMar>
              <w:top w:w="0" w:type="dxa"/>
              <w:left w:w="105" w:type="dxa"/>
              <w:bottom w:w="0" w:type="dxa"/>
              <w:right w:w="105" w:type="dxa"/>
            </w:tcMar>
          </w:tcPr>
          <w:p>
            <w:pPr>
              <w:spacing w:line="360" w:lineRule="auto"/>
              <w:jc w:val="both"/>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旅游管理（中国和新西兰合作办学）</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r>
        <w:tblPrEx>
          <w:tblLayout w:type="fixed"/>
          <w:tblCellMar>
            <w:top w:w="0" w:type="dxa"/>
            <w:left w:w="0" w:type="dxa"/>
            <w:bottom w:w="0" w:type="dxa"/>
            <w:right w:w="0" w:type="dxa"/>
          </w:tblCellMar>
        </w:tblPrEx>
        <w:trPr>
          <w:trHeight w:val="1007" w:hRule="atLeast"/>
        </w:trPr>
        <w:tc>
          <w:tcPr>
            <w:tcW w:w="1575" w:type="dxa"/>
            <w:vMerge w:val="continue"/>
            <w:tcBorders>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pPr>
              <w:adjustRightInd/>
              <w:snapToGrid/>
              <w:spacing w:after="0" w:line="360" w:lineRule="auto"/>
              <w:jc w:val="both"/>
              <w:rPr>
                <w:rFonts w:cs="Times New Roman" w:asciiTheme="minorEastAsia" w:hAnsiTheme="minorEastAsia" w:eastAsiaTheme="minorEastAsia"/>
                <w:color w:val="000000"/>
                <w:sz w:val="21"/>
                <w:szCs w:val="21"/>
              </w:rPr>
            </w:pPr>
          </w:p>
        </w:tc>
        <w:tc>
          <w:tcPr>
            <w:tcW w:w="2437" w:type="dxa"/>
            <w:tcBorders>
              <w:top w:val="nil"/>
              <w:left w:val="nil"/>
              <w:bottom w:val="single" w:color="auto" w:sz="6" w:space="0"/>
              <w:right w:val="nil"/>
            </w:tcBorders>
            <w:shd w:val="clear" w:color="auto" w:fill="FFFFFF"/>
            <w:tcMar>
              <w:top w:w="0" w:type="dxa"/>
              <w:left w:w="105" w:type="dxa"/>
              <w:bottom w:w="0" w:type="dxa"/>
              <w:right w:w="105" w:type="dxa"/>
            </w:tcMar>
            <w:vAlign w:val="center"/>
          </w:tcPr>
          <w:p>
            <w:pPr>
              <w:spacing w:line="360" w:lineRule="auto"/>
              <w:ind w:left="0"/>
              <w:jc w:val="center"/>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视觉传播设计与制作（中韩合作办学）</w:t>
            </w:r>
          </w:p>
        </w:tc>
        <w:tc>
          <w:tcPr>
            <w:tcW w:w="181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文化课测试+专业素养测试</w:t>
            </w:r>
          </w:p>
        </w:tc>
        <w:tc>
          <w:tcPr>
            <w:tcW w:w="19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语文、数学、英语</w:t>
            </w:r>
          </w:p>
        </w:tc>
        <w:tc>
          <w:tcPr>
            <w:tcW w:w="1543"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面试＋专业技能性测试</w:t>
            </w:r>
          </w:p>
        </w:tc>
        <w:tc>
          <w:tcPr>
            <w:tcW w:w="185" w:type="dxa"/>
            <w:shd w:val="clear" w:color="auto" w:fill="FFFFFF"/>
            <w:vAlign w:val="center"/>
          </w:tcPr>
          <w:p>
            <w:pPr>
              <w:adjustRightInd/>
              <w:snapToGrid/>
              <w:spacing w:after="0" w:line="360" w:lineRule="auto"/>
              <w:rPr>
                <w:rFonts w:cs="宋体" w:asciiTheme="minorEastAsia" w:hAnsiTheme="minorEastAsia" w:eastAsiaTheme="minorEastAsia"/>
                <w:color w:val="000000"/>
                <w:sz w:val="21"/>
                <w:szCs w:val="21"/>
              </w:rPr>
            </w:pP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（二）考试说明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笔试：A 类考生考试内容为文化素质和专业技能，其中，文化素质 320 分（语文120、数学120、英语80），专业技能 430 分。B 类、C 类考生免予文化素质考试，只参加学校组织的与报考专业相关的职业适应性测试或面试，总分 750 分，分心理素质、身体条件、职业能力倾向、技术技能基础四部分。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面试：主要考查学生精神面貌、语言表达、文化素养、逻辑思维、心里素质、仪容仪表、社会综合适应能力等（200分）。各招生专业根据本专业实际制定具体的面试项目、面试标准和面试要求，时间一般5分钟。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技术技能性测试：主要考察考生对所选专业的认识、学习志向与兴趣、个人爱好特长、未来就业打算和专业潜质及学生对所选专业其他相关素质的展示等（230分）。各院系具体可根据本专业实际，通过问答、技能展示、专业实操等进行，时间一般10分钟。</w:t>
      </w:r>
    </w:p>
    <w:p>
      <w:pPr>
        <w:shd w:val="clear" w:color="auto" w:fill="FFFFFF"/>
        <w:adjustRightInd/>
        <w:snapToGrid/>
        <w:spacing w:after="0" w:line="360" w:lineRule="auto"/>
        <w:ind w:firstLine="630"/>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（四）成绩计算方法</w:t>
      </w:r>
      <w:r>
        <w:rPr>
          <w:rFonts w:hint="eastAsia" w:ascii="仿宋" w:hAnsi="仿宋" w:eastAsia="仿宋" w:cs="仿宋"/>
          <w:b w:val="0"/>
          <w:i w:val="0"/>
          <w:caps w:val="0"/>
          <w:color w:val="000000"/>
          <w:spacing w:val="0"/>
          <w:kern w:val="0"/>
          <w:sz w:val="24"/>
          <w:szCs w:val="24"/>
          <w:lang w:val="en-US" w:eastAsia="zh-CN" w:bidi="ar"/>
        </w:rPr>
        <w:br w:type="textWrapping"/>
      </w:r>
      <w:r>
        <w:rPr>
          <w:rFonts w:hint="eastAsia" w:ascii="仿宋" w:hAnsi="仿宋" w:eastAsia="仿宋" w:cs="仿宋"/>
          <w:b w:val="0"/>
          <w:i w:val="0"/>
          <w:caps w:val="0"/>
          <w:color w:val="000000"/>
          <w:spacing w:val="0"/>
          <w:kern w:val="0"/>
          <w:sz w:val="24"/>
          <w:szCs w:val="24"/>
          <w:lang w:val="en-US" w:eastAsia="zh-CN" w:bidi="ar"/>
        </w:rPr>
        <w:t>　　考生总成绩＝笔试成绩+专业素养测试+面试成绩+专业技能测试成绩。</w:t>
      </w:r>
    </w:p>
    <w:p>
      <w:pPr>
        <w:shd w:val="clear" w:color="auto" w:fill="FFFFFF"/>
        <w:adjustRightInd/>
        <w:snapToGrid/>
        <w:spacing w:after="0" w:line="360" w:lineRule="auto"/>
        <w:ind w:firstLine="630"/>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违纪考生按《单独招生违纪处理办法》处理。</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bidi="ar"/>
        </w:rPr>
      </w:pPr>
      <w:r>
        <w:rPr>
          <w:rFonts w:hint="eastAsia" w:ascii="仿宋" w:hAnsi="仿宋" w:eastAsia="仿宋" w:cs="仿宋"/>
          <w:b/>
          <w:bCs/>
          <w:i w:val="0"/>
          <w:caps w:val="0"/>
          <w:color w:val="000000"/>
          <w:spacing w:val="0"/>
          <w:kern w:val="0"/>
          <w:sz w:val="28"/>
          <w:szCs w:val="28"/>
          <w:lang w:bidi="ar"/>
        </w:rPr>
        <w:t>六、考试时间、地点</w:t>
      </w:r>
    </w:p>
    <w:tbl>
      <w:tblPr>
        <w:tblStyle w:val="5"/>
        <w:tblW w:w="8745" w:type="dxa"/>
        <w:tblInd w:w="28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980"/>
        <w:gridCol w:w="1350"/>
        <w:gridCol w:w="2610"/>
        <w:gridCol w:w="280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990" w:hRule="atLeast"/>
        </w:trPr>
        <w:tc>
          <w:tcPr>
            <w:tcW w:w="19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bookmarkStart w:id="1" w:name="_GoBack"/>
            <w:r>
              <w:rPr>
                <w:rFonts w:hint="eastAsia" w:ascii="仿宋" w:hAnsi="仿宋" w:eastAsia="仿宋" w:cs="仿宋"/>
                <w:b w:val="0"/>
                <w:i w:val="0"/>
                <w:caps w:val="0"/>
                <w:color w:val="000000"/>
                <w:spacing w:val="0"/>
                <w:kern w:val="0"/>
                <w:sz w:val="24"/>
                <w:szCs w:val="24"/>
                <w:lang w:val="en-US" w:eastAsia="zh-CN" w:bidi="ar"/>
              </w:rPr>
              <w:t>考试类别</w:t>
            </w:r>
          </w:p>
        </w:tc>
        <w:tc>
          <w:tcPr>
            <w:tcW w:w="3960"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考试时间、地点</w:t>
            </w:r>
          </w:p>
        </w:tc>
        <w:tc>
          <w:tcPr>
            <w:tcW w:w="28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考试地点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98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笔试</w:t>
            </w:r>
          </w:p>
        </w:tc>
        <w:tc>
          <w:tcPr>
            <w:tcW w:w="13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8月27日</w:t>
            </w:r>
          </w:p>
        </w:tc>
        <w:tc>
          <w:tcPr>
            <w:tcW w:w="26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上午9：00-11：30</w:t>
            </w:r>
          </w:p>
        </w:tc>
        <w:tc>
          <w:tcPr>
            <w:tcW w:w="280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山东理工职业学院（济宁市太白湖新区济宁大道37号）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90" w:hRule="atLeast"/>
        </w:trPr>
        <w:tc>
          <w:tcPr>
            <w:tcW w:w="198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专业技能测试、面试</w:t>
            </w:r>
          </w:p>
        </w:tc>
        <w:tc>
          <w:tcPr>
            <w:tcW w:w="13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8月27日</w:t>
            </w:r>
          </w:p>
        </w:tc>
        <w:tc>
          <w:tcPr>
            <w:tcW w:w="26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adjustRightInd/>
              <w:snapToGrid/>
              <w:spacing w:after="0" w:line="360" w:lineRule="auto"/>
              <w:ind w:left="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下午13：30开始</w:t>
            </w:r>
          </w:p>
        </w:tc>
        <w:tc>
          <w:tcPr>
            <w:tcW w:w="2805" w:type="dxa"/>
            <w:vMerge w:val="continue"/>
            <w:tcBorders>
              <w:top w:val="nil"/>
              <w:left w:val="nil"/>
              <w:bottom w:val="single" w:color="auto" w:sz="6" w:space="0"/>
              <w:right w:val="single" w:color="auto" w:sz="6" w:space="0"/>
            </w:tcBorders>
            <w:shd w:val="clear" w:color="auto" w:fill="FFFFFF"/>
            <w:vAlign w:val="center"/>
          </w:tcPr>
          <w:p>
            <w:pPr>
              <w:adjustRightInd/>
              <w:snapToGrid/>
              <w:spacing w:after="0" w:line="360" w:lineRule="auto"/>
              <w:rPr>
                <w:rFonts w:hint="eastAsia" w:ascii="仿宋" w:hAnsi="仿宋" w:eastAsia="仿宋" w:cs="仿宋"/>
                <w:b w:val="0"/>
                <w:i w:val="0"/>
                <w:caps w:val="0"/>
                <w:color w:val="000000"/>
                <w:spacing w:val="0"/>
                <w:kern w:val="0"/>
                <w:sz w:val="24"/>
                <w:szCs w:val="24"/>
                <w:lang w:val="en-US" w:eastAsia="zh-CN" w:bidi="ar"/>
              </w:rPr>
            </w:pPr>
          </w:p>
        </w:tc>
      </w:tr>
      <w:bookmarkEnd w:id="1"/>
    </w:tbl>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七、命题与评卷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（一）文化基础考试由我院委托相关专家命题。考试依据国家课程标准和考试大纲要求命题，主要考察考生基础知识的掌握情况。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（二）评卷：我院将科学合理的制定评判标准，确保考试评判工作公平、公正、公开，做到阳光招生。</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八、录取办法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1、录取原则。高中阶段毕业生录取根据考生总成绩的先后顺序按“分数优先，遵循志愿，分类录取”原则，采取不同群体单列计划、单独录取方式进行，按普通类、退役士兵类、技术技能类分别录取；共录取 2 轮，拟录取名单通过省阳光招考数据管理平台（网址http://ygpt.sdzk.cn）报省教育招生考试院。普通专业、校企合作专业、中外合作专业分类录取。对无法满足专业志愿的考生，如服从专业调剂的，则由学校调剂到未录满的专业；对不服从专业调剂的，</w:t>
      </w:r>
      <w:bookmarkStart w:id="0" w:name="OLE_LINK2"/>
      <w:bookmarkEnd w:id="0"/>
      <w:r>
        <w:rPr>
          <w:rFonts w:hint="eastAsia" w:ascii="仿宋" w:hAnsi="仿宋" w:eastAsia="仿宋" w:cs="仿宋"/>
          <w:b w:val="0"/>
          <w:i w:val="0"/>
          <w:caps w:val="0"/>
          <w:color w:val="000000"/>
          <w:spacing w:val="0"/>
          <w:kern w:val="0"/>
          <w:sz w:val="24"/>
          <w:szCs w:val="24"/>
          <w:lang w:val="en-US" w:bidi="ar"/>
        </w:rPr>
        <w:t>学院将不予录取；空中乘务、旅游管理（高铁乘务、海上乘务方向）专业面试成绩需达到一定标准，方可按总成绩从高分到低分录取，额满为止。总成绩相同者依次按笔试成绩、语文、数学、英语成绩排序。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2、第 1 轮首次志愿录取。由学院根据招生计划、考生志愿和考生成绩择优录取，于 9 月 7 日前完成，并在招生院校 网站公示满 3 个工作日。经公示无异议后，招生院校于 9 月 10 日前将拟录取名单报省教育招生考试院，同时公布缺额计划。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3、学院将根据第一次录取情况进行第 2 轮为征集志愿学校录取。考生征集志愿（含院校、专业调剂志愿）填报完成后，9 月 14 日前省教育招生考试院将征集志愿考生信息（含首次志愿学校考试成绩）反馈考生志愿填报学院，由学院根据缺额计划和考生志愿，参考考生首次志愿学校考试成绩择优录取。学院将根据需要增加面试环节并依据面试成绩择优录取,面试环节所需费用由招生学院承担。征集志愿录取于 9 月 19 日前完成，并在学院网站公示满 3 个工作日。经公示无异议后，招生院校于 9 月 22 日前将拟录取名单报省教育招生考试院。省教育招生考试院于 9 月 24 日组织调剂录取并将拟录取名单反馈招生院校。9 月 26 日前省教育招生考试院办理录取手续完毕。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4、考生被录取入校后第一年不进行专业调整。确需调整专业者，根据学院转专业的有关规定，可于第二年6月向所在院系提出申请，符合条件的学生按学院和省厅有关规定办理相关手续。</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eastAsia="zh-CN" w:bidi="ar"/>
        </w:rPr>
        <w:t>九、</w:t>
      </w:r>
      <w:r>
        <w:rPr>
          <w:rFonts w:hint="eastAsia" w:ascii="仿宋" w:hAnsi="仿宋" w:eastAsia="仿宋" w:cs="仿宋"/>
          <w:b/>
          <w:bCs/>
          <w:i w:val="0"/>
          <w:caps w:val="0"/>
          <w:color w:val="000000"/>
          <w:spacing w:val="0"/>
          <w:kern w:val="0"/>
          <w:sz w:val="28"/>
          <w:szCs w:val="28"/>
          <w:lang w:val="en-US" w:bidi="ar"/>
        </w:rPr>
        <w:t>录取结果的公示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（一）录取工作结束后，在学院招生信息网公布录取结果，考生可通过学院招生信息网查询录取结果。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（二）凡被我校单独招生录取的考生将不能再参加春季、夏季普通高校招生统一考试及录取，由考生签字确认知晓此规定并承诺被录取后不再参加春季、夏季高考及录取。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（三）录取名单报山东省教育招生考试院审核。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（四）学校在录取名单公示结束后寄发录取通知书。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十、报到和复查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（一）单独招生录取的学生，须凭录取通知书，到我院办理报到手续，缴纳有关费用，逾期不报到者，按自动放弃入学资格处理。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（二）新生入校后，所有考生均须参加由学校组织的身体健康状 况检查和入学资格复查，如发现伪造材料取得报考资格者、冒名顶替者或体检舞弊及其他舞弊者，按照有关规定予以清退。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三）对在报名和考试过程中有弄虚作假或其他违纪违规行为的考生，将报山东省教育招生考试院，取消其入学资格，并将其档案退回其户籍所在地。对在新生复查中发现的其他问题，按《山东理工职业学院学籍管理规定》处理。</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十</w:t>
      </w:r>
      <w:r>
        <w:rPr>
          <w:rFonts w:hint="eastAsia" w:ascii="仿宋" w:hAnsi="仿宋" w:eastAsia="仿宋" w:cs="仿宋"/>
          <w:b/>
          <w:bCs/>
          <w:i w:val="0"/>
          <w:caps w:val="0"/>
          <w:color w:val="000000"/>
          <w:spacing w:val="0"/>
          <w:kern w:val="0"/>
          <w:sz w:val="28"/>
          <w:szCs w:val="28"/>
          <w:lang w:val="en-US" w:eastAsia="zh-CN" w:bidi="ar"/>
        </w:rPr>
        <w:t>一</w:t>
      </w:r>
      <w:r>
        <w:rPr>
          <w:rFonts w:hint="eastAsia" w:ascii="仿宋" w:hAnsi="仿宋" w:eastAsia="仿宋" w:cs="仿宋"/>
          <w:b/>
          <w:bCs/>
          <w:i w:val="0"/>
          <w:caps w:val="0"/>
          <w:color w:val="000000"/>
          <w:spacing w:val="0"/>
          <w:kern w:val="0"/>
          <w:sz w:val="28"/>
          <w:szCs w:val="28"/>
          <w:lang w:val="en-US" w:bidi="ar"/>
        </w:rPr>
        <w:t>、教学安排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实施分类教学，全面推进学分制，探索建立学分银行。对录取的 A 类学生，与通过高考入学的高中阶段学生一同培养。对录取的 B 类、C 类学生，按照“标准不降、模式多元、学制灵活”原则，创新教学组织形式、教学模式和考核评价模式，根据全日制普通高职院校人才培养目标、规格，单独制定人才培养方案，单独编班、教学、考核，坚持集中教学和分散教学相结合、在校学习和社区（企业）学习、“送教上门”相结合，鼓励支持与行业企业联合开展教学，实施学徒制人才培养、订单培养 等模式，考核以全日制高职相同专业实施的课程标准为依据。探 索开展“1+X”证书试点，健全以证代考制度，取得相应职业技能等级证书、职业资格证书和行业企业实践经历，可记入本人的学业学分。建设山东省职业教育教学资源共享平台，通过平台学习的成果可计入学分。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十</w:t>
      </w:r>
      <w:r>
        <w:rPr>
          <w:rFonts w:hint="eastAsia" w:ascii="仿宋" w:hAnsi="仿宋" w:eastAsia="仿宋" w:cs="仿宋"/>
          <w:b/>
          <w:bCs/>
          <w:i w:val="0"/>
          <w:caps w:val="0"/>
          <w:color w:val="000000"/>
          <w:spacing w:val="0"/>
          <w:kern w:val="0"/>
          <w:sz w:val="28"/>
          <w:szCs w:val="28"/>
          <w:lang w:val="en-US" w:eastAsia="zh-CN" w:bidi="ar"/>
        </w:rPr>
        <w:t>二</w:t>
      </w:r>
      <w:r>
        <w:rPr>
          <w:rFonts w:hint="eastAsia" w:ascii="仿宋" w:hAnsi="仿宋" w:eastAsia="仿宋" w:cs="仿宋"/>
          <w:b/>
          <w:bCs/>
          <w:i w:val="0"/>
          <w:caps w:val="0"/>
          <w:color w:val="000000"/>
          <w:spacing w:val="0"/>
          <w:kern w:val="0"/>
          <w:sz w:val="28"/>
          <w:szCs w:val="28"/>
          <w:lang w:val="en-US" w:bidi="ar"/>
        </w:rPr>
        <w:t>、学生管理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实施分类管理，对录取的 A 类学生，与通过高考入学的高中阶段学生一同管理。对录取的 B 类、C 类学生，结合学生特点，适应不同生源、不同学习时间、不同学习方式，制定有针对性的学生管理办法，统筹管理，分类指导，并安排专门人员负责学生教育管理各项工作；实行弹性学制、弹性学期、弹性学时，学生的学业年限既可以 2-3 年，也可放宽至 3-6 年，修完教育教学计划规定内容，成绩合格，达到学校毕业要求的，由学校颁发普通全日制专科毕业证书，与普通学生毕业证书相同。</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bidi="ar"/>
        </w:rPr>
      </w:pPr>
      <w:r>
        <w:rPr>
          <w:rFonts w:hint="eastAsia" w:ascii="仿宋" w:hAnsi="仿宋" w:eastAsia="仿宋" w:cs="仿宋"/>
          <w:b/>
          <w:bCs/>
          <w:i w:val="0"/>
          <w:caps w:val="0"/>
          <w:color w:val="000000"/>
          <w:spacing w:val="0"/>
          <w:kern w:val="0"/>
          <w:sz w:val="28"/>
          <w:szCs w:val="28"/>
          <w:lang w:val="en-US" w:bidi="ar"/>
        </w:rPr>
        <w:t>十</w:t>
      </w:r>
      <w:r>
        <w:rPr>
          <w:rFonts w:hint="eastAsia" w:ascii="仿宋" w:hAnsi="仿宋" w:eastAsia="仿宋" w:cs="仿宋"/>
          <w:b/>
          <w:bCs/>
          <w:i w:val="0"/>
          <w:caps w:val="0"/>
          <w:color w:val="000000"/>
          <w:spacing w:val="0"/>
          <w:kern w:val="0"/>
          <w:sz w:val="28"/>
          <w:szCs w:val="28"/>
          <w:lang w:val="en-US" w:eastAsia="zh-CN" w:bidi="ar"/>
        </w:rPr>
        <w:t>三</w:t>
      </w:r>
      <w:r>
        <w:rPr>
          <w:rFonts w:hint="eastAsia" w:ascii="仿宋" w:hAnsi="仿宋" w:eastAsia="仿宋" w:cs="仿宋"/>
          <w:b/>
          <w:bCs/>
          <w:i w:val="0"/>
          <w:caps w:val="0"/>
          <w:color w:val="000000"/>
          <w:spacing w:val="0"/>
          <w:kern w:val="0"/>
          <w:sz w:val="28"/>
          <w:szCs w:val="28"/>
          <w:lang w:val="en-US" w:bidi="ar"/>
        </w:rPr>
        <w:t>、就业服务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 xml:space="preserve">毕业生在落户、就业、参加机关事业单位招聘、职称评审、职级晋升等方面与普通高校毕业生享受同等待遇。各高职院校要结合就业形势和生源类型特点，加强就业指导和就业服务，强化职业生涯发展教育，帮助学生合理调整就业期望，找准职业定位。退役军人事务、人力资源社会保障、农业农村、工会等部门按照职责分别对退役军人、下岗失业人员、农民工、农民、在岗职工提供有针对性的就业服务，推动精准支持、精准就业。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根据规定，参加单独招生考试被录取的考生，与普通高校春季、夏季高考录取的考生享受同等待遇。考生录取后，一律不再参加2019年普通高校春季、夏季高考统一招生考试及录取。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我校录取的单独招生学生与参加高考录取的新生，在校期间享受相同的待遇，学业期满，成绩合格，颁发与普通高校统一招生考试录取的学生相同的大专毕业证书。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十四、收退费政策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eastAsia="zh-CN" w:bidi="ar"/>
        </w:rPr>
        <w:t>学费和住宿费等收费标准，详见学校招生网站。</w:t>
      </w:r>
      <w:r>
        <w:rPr>
          <w:rFonts w:hint="eastAsia" w:ascii="仿宋" w:hAnsi="仿宋" w:eastAsia="仿宋" w:cs="仿宋"/>
          <w:b w:val="0"/>
          <w:i w:val="0"/>
          <w:caps w:val="0"/>
          <w:color w:val="000000"/>
          <w:spacing w:val="0"/>
          <w:kern w:val="0"/>
          <w:sz w:val="24"/>
          <w:szCs w:val="24"/>
          <w:lang w:val="en-US" w:bidi="ar"/>
        </w:rPr>
        <w:t xml:space="preserve"> </w:t>
      </w:r>
      <w:r>
        <w:rPr>
          <w:rFonts w:hint="eastAsia" w:ascii="仿宋" w:hAnsi="仿宋" w:eastAsia="仿宋" w:cs="仿宋"/>
          <w:b w:val="0"/>
          <w:i w:val="0"/>
          <w:caps w:val="0"/>
          <w:color w:val="000000"/>
          <w:spacing w:val="0"/>
          <w:kern w:val="0"/>
          <w:sz w:val="24"/>
          <w:szCs w:val="24"/>
          <w:lang w:val="en-US" w:eastAsia="zh-CN" w:bidi="ar"/>
        </w:rPr>
        <w:t>退费</w:t>
      </w:r>
      <w:r>
        <w:rPr>
          <w:rFonts w:hint="eastAsia" w:ascii="仿宋" w:hAnsi="仿宋" w:eastAsia="仿宋" w:cs="仿宋"/>
          <w:b w:val="0"/>
          <w:i w:val="0"/>
          <w:caps w:val="0"/>
          <w:color w:val="000000"/>
          <w:spacing w:val="0"/>
          <w:kern w:val="0"/>
          <w:sz w:val="24"/>
          <w:szCs w:val="24"/>
          <w:lang w:val="en-US" w:bidi="ar"/>
        </w:rPr>
        <w:t>按照</w:t>
      </w:r>
      <w:r>
        <w:rPr>
          <w:rFonts w:hint="eastAsia" w:ascii="仿宋" w:hAnsi="仿宋" w:eastAsia="仿宋" w:cs="仿宋"/>
          <w:b w:val="0"/>
          <w:i w:val="0"/>
          <w:caps w:val="0"/>
          <w:color w:val="000000"/>
          <w:spacing w:val="0"/>
          <w:kern w:val="0"/>
          <w:sz w:val="24"/>
          <w:szCs w:val="24"/>
          <w:lang w:val="en-US" w:eastAsia="zh-CN" w:bidi="ar"/>
        </w:rPr>
        <w:t>《山东省高等学校收费管理办法》</w:t>
      </w:r>
      <w:r>
        <w:rPr>
          <w:rFonts w:hint="eastAsia" w:ascii="仿宋" w:hAnsi="仿宋" w:eastAsia="仿宋" w:cs="仿宋"/>
          <w:b w:val="0"/>
          <w:i w:val="0"/>
          <w:caps w:val="0"/>
          <w:color w:val="000000"/>
          <w:spacing w:val="0"/>
          <w:kern w:val="0"/>
          <w:sz w:val="24"/>
          <w:szCs w:val="24"/>
          <w:lang w:val="en-US" w:bidi="ar"/>
        </w:rPr>
        <w:t>鲁</w:t>
      </w:r>
      <w:r>
        <w:rPr>
          <w:rFonts w:hint="eastAsia" w:ascii="仿宋" w:hAnsi="仿宋" w:eastAsia="仿宋" w:cs="仿宋"/>
          <w:b w:val="0"/>
          <w:i w:val="0"/>
          <w:caps w:val="0"/>
          <w:color w:val="000000"/>
          <w:spacing w:val="0"/>
          <w:kern w:val="0"/>
          <w:sz w:val="24"/>
          <w:szCs w:val="24"/>
          <w:lang w:val="en-US" w:eastAsia="zh-CN" w:bidi="ar"/>
        </w:rPr>
        <w:t>政办</w:t>
      </w:r>
      <w:r>
        <w:rPr>
          <w:rFonts w:hint="eastAsia" w:ascii="仿宋" w:hAnsi="仿宋" w:eastAsia="仿宋" w:cs="仿宋"/>
          <w:b w:val="0"/>
          <w:i w:val="0"/>
          <w:caps w:val="0"/>
          <w:color w:val="000000"/>
          <w:spacing w:val="0"/>
          <w:kern w:val="0"/>
          <w:sz w:val="24"/>
          <w:szCs w:val="24"/>
          <w:lang w:val="en-US" w:bidi="ar"/>
        </w:rPr>
        <w:t>字〔201</w:t>
      </w:r>
      <w:r>
        <w:rPr>
          <w:rFonts w:hint="eastAsia" w:ascii="仿宋" w:hAnsi="仿宋" w:eastAsia="仿宋" w:cs="仿宋"/>
          <w:b w:val="0"/>
          <w:i w:val="0"/>
          <w:caps w:val="0"/>
          <w:color w:val="000000"/>
          <w:spacing w:val="0"/>
          <w:kern w:val="0"/>
          <w:sz w:val="24"/>
          <w:szCs w:val="24"/>
          <w:lang w:val="en-US" w:eastAsia="zh-CN" w:bidi="ar"/>
        </w:rPr>
        <w:t>8</w:t>
      </w:r>
      <w:r>
        <w:rPr>
          <w:rFonts w:hint="eastAsia" w:ascii="仿宋" w:hAnsi="仿宋" w:eastAsia="仿宋" w:cs="仿宋"/>
          <w:b w:val="0"/>
          <w:i w:val="0"/>
          <w:caps w:val="0"/>
          <w:color w:val="000000"/>
          <w:spacing w:val="0"/>
          <w:kern w:val="0"/>
          <w:sz w:val="24"/>
          <w:szCs w:val="24"/>
          <w:lang w:val="en-US" w:bidi="ar"/>
        </w:rPr>
        <w:t>〕</w:t>
      </w:r>
      <w:r>
        <w:rPr>
          <w:rFonts w:hint="eastAsia" w:ascii="仿宋" w:hAnsi="仿宋" w:eastAsia="仿宋" w:cs="仿宋"/>
          <w:b w:val="0"/>
          <w:i w:val="0"/>
          <w:caps w:val="0"/>
          <w:color w:val="000000"/>
          <w:spacing w:val="0"/>
          <w:kern w:val="0"/>
          <w:sz w:val="24"/>
          <w:szCs w:val="24"/>
          <w:lang w:val="en-US" w:eastAsia="zh-CN" w:bidi="ar"/>
        </w:rPr>
        <w:t>98</w:t>
      </w:r>
      <w:r>
        <w:rPr>
          <w:rFonts w:hint="eastAsia" w:ascii="仿宋" w:hAnsi="仿宋" w:eastAsia="仿宋" w:cs="仿宋"/>
          <w:b w:val="0"/>
          <w:i w:val="0"/>
          <w:caps w:val="0"/>
          <w:color w:val="000000"/>
          <w:spacing w:val="0"/>
          <w:kern w:val="0"/>
          <w:sz w:val="24"/>
          <w:szCs w:val="24"/>
          <w:lang w:val="en-US" w:bidi="ar"/>
        </w:rPr>
        <w:t>号文件有关退费规定执行。</w:t>
      </w:r>
    </w:p>
    <w:p>
      <w:pPr>
        <w:numPr>
          <w:ilvl w:val="0"/>
          <w:numId w:val="0"/>
        </w:numPr>
        <w:shd w:val="clear" w:color="auto" w:fill="FFFFFF"/>
        <w:adjustRightInd/>
        <w:snapToGrid/>
        <w:spacing w:after="0" w:line="360" w:lineRule="auto"/>
        <w:ind w:left="1110" w:leftChars="0"/>
        <w:rPr>
          <w:rFonts w:hint="eastAsia" w:ascii="宋体" w:hAnsi="宋体" w:eastAsia="宋体" w:cs="宋体"/>
          <w:color w:val="000000"/>
          <w:sz w:val="24"/>
          <w:szCs w:val="24"/>
          <w:lang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十五、监督机制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学院高度重视单独招生工作，成立单独招生考试工作领导小组，加强对此项工作的领导，强化组织保障，凡属考试、录取中重大问题，一律集体研究决定，切实做好单独招生的各项工作。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我院单独招生工作实行“考录分离”的原则，严格执行教育部及我省关于在高校招生工作中实施“阳光工程”的各项要求，切实加强领导，加强试题命制、印刷、分发、保管等环节的保密和考场管理工作，按照向社会公布的招生方案进行，接受山东省教育招生考试院的监督，接受社会的监督，保证单独招生考试录取工作公平、公开、公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我院将选派政策水平高、工作认真负责、作风正派、办事公正的教师和管理人员参加单独招生考试工作，凡有直系亲属当年报考者不得参与招生考试录取工作。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学校纪检部门全程参与单独招生考试工作，健全监督机制，对命题、考核、评分、统分、录取等各个环节工作全程实施督察。单独招生考核工作纳入学院年终考核。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学院监督电话：0537-3617809</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十六、联系方式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通信地址：济宁市太白湖新区济宁大道37号 山东理工职业学院 招生处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邮政编码：272067</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咨询电话：0537-3617788 3617790络3617333  2343396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传  真：0537-3617788</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学校网址：</w:t>
      </w:r>
      <w:r>
        <w:rPr>
          <w:rFonts w:hint="eastAsia" w:ascii="仿宋" w:hAnsi="仿宋" w:eastAsia="仿宋" w:cs="仿宋"/>
          <w:b w:val="0"/>
          <w:i w:val="0"/>
          <w:caps w:val="0"/>
          <w:color w:val="000000"/>
          <w:spacing w:val="0"/>
          <w:kern w:val="0"/>
          <w:sz w:val="24"/>
          <w:szCs w:val="24"/>
          <w:lang w:val="en-US" w:bidi="ar"/>
        </w:rPr>
        <w:fldChar w:fldCharType="begin"/>
      </w:r>
      <w:r>
        <w:rPr>
          <w:rFonts w:hint="eastAsia" w:ascii="仿宋" w:hAnsi="仿宋" w:eastAsia="仿宋" w:cs="仿宋"/>
          <w:b w:val="0"/>
          <w:i w:val="0"/>
          <w:caps w:val="0"/>
          <w:color w:val="000000"/>
          <w:spacing w:val="0"/>
          <w:kern w:val="0"/>
          <w:sz w:val="24"/>
          <w:szCs w:val="24"/>
          <w:lang w:val="en-US" w:bidi="ar"/>
        </w:rPr>
        <w:instrText xml:space="preserve"> HYPERLINK "http://www.sdlgzy.com/" </w:instrText>
      </w:r>
      <w:r>
        <w:rPr>
          <w:rFonts w:hint="eastAsia" w:ascii="仿宋" w:hAnsi="仿宋" w:eastAsia="仿宋" w:cs="仿宋"/>
          <w:b w:val="0"/>
          <w:i w:val="0"/>
          <w:caps w:val="0"/>
          <w:color w:val="000000"/>
          <w:spacing w:val="0"/>
          <w:kern w:val="0"/>
          <w:sz w:val="24"/>
          <w:szCs w:val="24"/>
          <w:lang w:val="en-US" w:bidi="ar"/>
        </w:rPr>
        <w:fldChar w:fldCharType="separate"/>
      </w:r>
      <w:r>
        <w:rPr>
          <w:rFonts w:hint="eastAsia" w:ascii="仿宋" w:hAnsi="仿宋" w:eastAsia="仿宋" w:cs="仿宋"/>
          <w:b w:val="0"/>
          <w:i w:val="0"/>
          <w:caps w:val="0"/>
          <w:color w:val="000000"/>
          <w:spacing w:val="0"/>
          <w:kern w:val="0"/>
          <w:sz w:val="24"/>
          <w:szCs w:val="24"/>
          <w:lang w:val="en-US" w:bidi="ar"/>
        </w:rPr>
        <w:t>www.sdlgzy.com</w:t>
      </w:r>
      <w:r>
        <w:rPr>
          <w:rFonts w:hint="eastAsia" w:ascii="仿宋" w:hAnsi="仿宋" w:eastAsia="仿宋" w:cs="仿宋"/>
          <w:b w:val="0"/>
          <w:i w:val="0"/>
          <w:caps w:val="0"/>
          <w:color w:val="000000"/>
          <w:spacing w:val="0"/>
          <w:kern w:val="0"/>
          <w:sz w:val="24"/>
          <w:szCs w:val="24"/>
          <w:lang w:val="en-US" w:bidi="ar"/>
        </w:rPr>
        <w:fldChar w:fldCharType="end"/>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招生邮箱：sdlgzsjy@163.com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交 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学院东门： 21路、5路、7路公交车可达；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学院西门： 20路、31路公交车可达；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kern w:val="0"/>
          <w:sz w:val="24"/>
          <w:szCs w:val="24"/>
          <w:lang w:val="en-US" w:bidi="ar"/>
        </w:rPr>
      </w:pPr>
      <w:r>
        <w:rPr>
          <w:rFonts w:hint="eastAsia" w:ascii="仿宋" w:hAnsi="仿宋" w:eastAsia="仿宋" w:cs="仿宋"/>
          <w:b w:val="0"/>
          <w:i w:val="0"/>
          <w:caps w:val="0"/>
          <w:color w:val="000000"/>
          <w:spacing w:val="0"/>
          <w:kern w:val="0"/>
          <w:sz w:val="24"/>
          <w:szCs w:val="24"/>
          <w:lang w:val="en-US" w:bidi="ar"/>
        </w:rPr>
        <w:t>学院南门： 20路、31路公交车可达。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十七、附则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本</w:t>
      </w:r>
      <w:r>
        <w:rPr>
          <w:rFonts w:hint="eastAsia" w:ascii="仿宋" w:hAnsi="仿宋" w:eastAsia="仿宋" w:cs="仿宋"/>
          <w:b w:val="0"/>
          <w:i w:val="0"/>
          <w:caps w:val="0"/>
          <w:color w:val="000000"/>
          <w:spacing w:val="0"/>
          <w:sz w:val="24"/>
          <w:szCs w:val="24"/>
          <w:lang w:eastAsia="zh-CN"/>
        </w:rPr>
        <w:t>章程若有</w:t>
      </w:r>
      <w:r>
        <w:rPr>
          <w:rFonts w:hint="eastAsia" w:ascii="仿宋" w:hAnsi="仿宋" w:eastAsia="仿宋" w:cs="仿宋"/>
          <w:b w:val="0"/>
          <w:i w:val="0"/>
          <w:caps w:val="0"/>
          <w:color w:val="000000"/>
          <w:spacing w:val="0"/>
          <w:sz w:val="24"/>
          <w:szCs w:val="24"/>
        </w:rPr>
        <w:t>与国家法律、法规、规章和上级有关政策</w:t>
      </w:r>
      <w:r>
        <w:rPr>
          <w:rFonts w:hint="eastAsia" w:ascii="仿宋" w:hAnsi="仿宋" w:eastAsia="仿宋" w:cs="仿宋"/>
          <w:b w:val="0"/>
          <w:i w:val="0"/>
          <w:caps w:val="0"/>
          <w:color w:val="000000"/>
          <w:spacing w:val="0"/>
          <w:sz w:val="24"/>
          <w:szCs w:val="24"/>
          <w:lang w:eastAsia="zh-CN"/>
        </w:rPr>
        <w:t>不一致处</w:t>
      </w:r>
      <w:r>
        <w:rPr>
          <w:rFonts w:hint="eastAsia" w:ascii="仿宋" w:hAnsi="仿宋" w:eastAsia="仿宋" w:cs="仿宋"/>
          <w:b w:val="0"/>
          <w:i w:val="0"/>
          <w:caps w:val="0"/>
          <w:color w:val="000000"/>
          <w:spacing w:val="0"/>
          <w:sz w:val="24"/>
          <w:szCs w:val="24"/>
        </w:rPr>
        <w:t>，以国家法律、法规、规章和上级有关政策为准。未尽事宜，按上级有关规定执行。</w:t>
      </w:r>
      <w:r>
        <w:rPr>
          <w:rFonts w:hint="eastAsia" w:ascii="仿宋" w:hAnsi="仿宋" w:eastAsia="仿宋" w:cs="仿宋"/>
          <w:b w:val="0"/>
          <w:i w:val="0"/>
          <w:caps w:val="0"/>
          <w:color w:val="000000"/>
          <w:spacing w:val="0"/>
          <w:sz w:val="24"/>
          <w:szCs w:val="24"/>
          <w:lang w:val="en-US"/>
        </w:rPr>
        <w:t> </w:t>
      </w:r>
    </w:p>
    <w:p>
      <w:pPr>
        <w:numPr>
          <w:ilvl w:val="0"/>
          <w:numId w:val="0"/>
        </w:numPr>
        <w:spacing w:line="220" w:lineRule="atLeast"/>
        <w:rPr>
          <w:rFonts w:hint="eastAsia"/>
          <w:lang w:eastAsia="zh-CN"/>
        </w:rPr>
      </w:pPr>
    </w:p>
    <w:sectPr>
      <w:pgSz w:w="11906" w:h="16838"/>
      <w:pgMar w:top="1440" w:right="1304" w:bottom="1440" w:left="136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6C4"/>
    <w:rsid w:val="00023DA9"/>
    <w:rsid w:val="000732C0"/>
    <w:rsid w:val="00092953"/>
    <w:rsid w:val="000B2091"/>
    <w:rsid w:val="001044B4"/>
    <w:rsid w:val="001072F8"/>
    <w:rsid w:val="00134175"/>
    <w:rsid w:val="001571FC"/>
    <w:rsid w:val="00190BB6"/>
    <w:rsid w:val="00191756"/>
    <w:rsid w:val="001B45C7"/>
    <w:rsid w:val="001B5688"/>
    <w:rsid w:val="001C3E9C"/>
    <w:rsid w:val="001D16C4"/>
    <w:rsid w:val="001E520B"/>
    <w:rsid w:val="00275025"/>
    <w:rsid w:val="002A674A"/>
    <w:rsid w:val="002B7F51"/>
    <w:rsid w:val="002E7AC9"/>
    <w:rsid w:val="00301205"/>
    <w:rsid w:val="00305370"/>
    <w:rsid w:val="00317536"/>
    <w:rsid w:val="00321892"/>
    <w:rsid w:val="00323B43"/>
    <w:rsid w:val="00381223"/>
    <w:rsid w:val="003930B2"/>
    <w:rsid w:val="003A2B09"/>
    <w:rsid w:val="003B71D2"/>
    <w:rsid w:val="003D37D8"/>
    <w:rsid w:val="003E081B"/>
    <w:rsid w:val="003E7934"/>
    <w:rsid w:val="00406D0B"/>
    <w:rsid w:val="00422011"/>
    <w:rsid w:val="00426133"/>
    <w:rsid w:val="004358AB"/>
    <w:rsid w:val="00462752"/>
    <w:rsid w:val="00490A56"/>
    <w:rsid w:val="00492CB3"/>
    <w:rsid w:val="004A6300"/>
    <w:rsid w:val="004B37A4"/>
    <w:rsid w:val="004C3843"/>
    <w:rsid w:val="004C48C0"/>
    <w:rsid w:val="004F075A"/>
    <w:rsid w:val="00547260"/>
    <w:rsid w:val="00557411"/>
    <w:rsid w:val="00573F2D"/>
    <w:rsid w:val="00587B46"/>
    <w:rsid w:val="005D6595"/>
    <w:rsid w:val="00610821"/>
    <w:rsid w:val="00613D85"/>
    <w:rsid w:val="00665714"/>
    <w:rsid w:val="00692838"/>
    <w:rsid w:val="0069708D"/>
    <w:rsid w:val="006A582F"/>
    <w:rsid w:val="006C5DF4"/>
    <w:rsid w:val="0072757C"/>
    <w:rsid w:val="00746835"/>
    <w:rsid w:val="00755B17"/>
    <w:rsid w:val="00760888"/>
    <w:rsid w:val="007626EC"/>
    <w:rsid w:val="00763253"/>
    <w:rsid w:val="0078060C"/>
    <w:rsid w:val="00793FB3"/>
    <w:rsid w:val="007D1720"/>
    <w:rsid w:val="007D730E"/>
    <w:rsid w:val="007E5E38"/>
    <w:rsid w:val="00815B9C"/>
    <w:rsid w:val="00831544"/>
    <w:rsid w:val="0088051C"/>
    <w:rsid w:val="008840F4"/>
    <w:rsid w:val="008A1615"/>
    <w:rsid w:val="008B7726"/>
    <w:rsid w:val="008C6EAC"/>
    <w:rsid w:val="008F7556"/>
    <w:rsid w:val="0090363A"/>
    <w:rsid w:val="00951EAD"/>
    <w:rsid w:val="00954D1B"/>
    <w:rsid w:val="009B1185"/>
    <w:rsid w:val="009F46EF"/>
    <w:rsid w:val="009F49A9"/>
    <w:rsid w:val="00A141AE"/>
    <w:rsid w:val="00A204A7"/>
    <w:rsid w:val="00AB7256"/>
    <w:rsid w:val="00AB7D32"/>
    <w:rsid w:val="00AE1B1E"/>
    <w:rsid w:val="00AF1FF2"/>
    <w:rsid w:val="00AF576E"/>
    <w:rsid w:val="00B20BBF"/>
    <w:rsid w:val="00B212B1"/>
    <w:rsid w:val="00B21B18"/>
    <w:rsid w:val="00B50CC3"/>
    <w:rsid w:val="00B67C69"/>
    <w:rsid w:val="00B77AAA"/>
    <w:rsid w:val="00B80D68"/>
    <w:rsid w:val="00BB1B71"/>
    <w:rsid w:val="00BC2167"/>
    <w:rsid w:val="00BD60F4"/>
    <w:rsid w:val="00C12DE3"/>
    <w:rsid w:val="00C2001B"/>
    <w:rsid w:val="00C26208"/>
    <w:rsid w:val="00C43C70"/>
    <w:rsid w:val="00C52B1A"/>
    <w:rsid w:val="00C57CB3"/>
    <w:rsid w:val="00CA61C9"/>
    <w:rsid w:val="00CC2A3E"/>
    <w:rsid w:val="00CE6855"/>
    <w:rsid w:val="00CF0376"/>
    <w:rsid w:val="00CF670B"/>
    <w:rsid w:val="00D14E6A"/>
    <w:rsid w:val="00D31D50"/>
    <w:rsid w:val="00D42F41"/>
    <w:rsid w:val="00D7600A"/>
    <w:rsid w:val="00D80E5E"/>
    <w:rsid w:val="00D827AE"/>
    <w:rsid w:val="00D8503D"/>
    <w:rsid w:val="00D9396F"/>
    <w:rsid w:val="00DA0F93"/>
    <w:rsid w:val="00DA38AA"/>
    <w:rsid w:val="00DE40F1"/>
    <w:rsid w:val="00DE44F2"/>
    <w:rsid w:val="00DE7A3B"/>
    <w:rsid w:val="00E41BDE"/>
    <w:rsid w:val="00E568E0"/>
    <w:rsid w:val="00E67242"/>
    <w:rsid w:val="00E943ED"/>
    <w:rsid w:val="00EA5FB7"/>
    <w:rsid w:val="00EB66A4"/>
    <w:rsid w:val="00EC1A4B"/>
    <w:rsid w:val="00ED144D"/>
    <w:rsid w:val="00F044AE"/>
    <w:rsid w:val="00F334AD"/>
    <w:rsid w:val="00F4205F"/>
    <w:rsid w:val="00F909F7"/>
    <w:rsid w:val="00FB12F0"/>
    <w:rsid w:val="00FC02AF"/>
    <w:rsid w:val="00FF0CB0"/>
    <w:rsid w:val="14E214C1"/>
    <w:rsid w:val="176A2158"/>
    <w:rsid w:val="1F3C2003"/>
    <w:rsid w:val="32AD6419"/>
    <w:rsid w:val="38B4108B"/>
    <w:rsid w:val="63DF42FB"/>
    <w:rsid w:val="71754A9B"/>
    <w:rsid w:val="72F7421C"/>
    <w:rsid w:val="7448082F"/>
    <w:rsid w:val="79926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ind w:left="465"/>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semiHidden/>
    <w:unhideWhenUsed/>
    <w:uiPriority w:val="99"/>
    <w:pPr>
      <w:tabs>
        <w:tab w:val="center" w:pos="4153"/>
        <w:tab w:val="right" w:pos="8306"/>
      </w:tabs>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single"/>
    </w:rPr>
  </w:style>
  <w:style w:type="character" w:styleId="9">
    <w:name w:val="Hyperlink"/>
    <w:basedOn w:val="6"/>
    <w:semiHidden/>
    <w:unhideWhenUsed/>
    <w:qFormat/>
    <w:uiPriority w:val="99"/>
    <w:rPr>
      <w:color w:val="0000FF"/>
      <w:u w:val="single"/>
    </w:rPr>
  </w:style>
  <w:style w:type="character" w:customStyle="1" w:styleId="10">
    <w:name w:val="页眉 Char"/>
    <w:basedOn w:val="6"/>
    <w:link w:val="3"/>
    <w:semiHidden/>
    <w:uiPriority w:val="99"/>
    <w:rPr>
      <w:rFonts w:ascii="Tahoma" w:hAnsi="Tahoma"/>
      <w:sz w:val="18"/>
      <w:szCs w:val="18"/>
    </w:rPr>
  </w:style>
  <w:style w:type="character" w:customStyle="1" w:styleId="11">
    <w:name w:val="页脚 Char"/>
    <w:basedOn w:val="6"/>
    <w:link w:val="2"/>
    <w:semiHidden/>
    <w:uiPriority w:val="99"/>
    <w:rPr>
      <w:rFonts w:ascii="Tahoma" w:hAnsi="Tahoma"/>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9B4B44-B4E0-49EC-93BC-B5B08764CC28}">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1829</Words>
  <Characters>10430</Characters>
  <Lines>86</Lines>
  <Paragraphs>24</Paragraphs>
  <TotalTime>81</TotalTime>
  <ScaleCrop>false</ScaleCrop>
  <LinksUpToDate>false</LinksUpToDate>
  <CharactersWithSpaces>12235</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2019-06-14T01:47:00Z</dcterms:created>
  <dc:creator>Administrator</dc:creator>
  <cp:lastModifiedBy>Administrator</cp:lastModifiedBy>
  <cp:lastPrinted>2019-04-07T06:45:00Z</cp:lastPrinted>
  <dcterms:modified xsi:type="dcterms:W3CDTF">2019-07-28T16:40:05Z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