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pacing w:line="60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2022年各市职业教育国家在线精品课程</w:t>
      </w:r>
    </w:p>
    <w:p>
      <w:pPr>
        <w:pStyle w:val="2"/>
        <w:spacing w:line="60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推荐限额</w:t>
      </w:r>
    </w:p>
    <w:p>
      <w:pPr>
        <w:widowControl/>
        <w:rPr>
          <w:rFonts w:ascii="黑体" w:hAnsi="黑体" w:eastAsia="黑体"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序号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推荐限额（门）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济南市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2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青岛市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3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淄博市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4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枣庄市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5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东营市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6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烟台市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7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潍坊市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8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济宁市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9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泰安市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10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威海市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11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日照市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12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临沂市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13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德州市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14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聊城市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15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滨州市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16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菏泽市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33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合计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widowControl/>
              <w:jc w:val="center"/>
              <w:rPr>
                <w:rFonts w:hAnsi="等线" w:cs="宋体"/>
                <w:sz w:val="24"/>
              </w:rPr>
            </w:pPr>
            <w:r>
              <w:rPr>
                <w:rFonts w:hint="eastAsia" w:hAnsi="等线" w:cs="宋体"/>
                <w:sz w:val="24"/>
              </w:rPr>
              <w:t>300</w:t>
            </w:r>
          </w:p>
        </w:tc>
      </w:tr>
    </w:tbl>
    <w:p>
      <w:pPr>
        <w:pStyle w:val="2"/>
        <w:spacing w:line="600" w:lineRule="exact"/>
        <w:ind w:firstLine="560" w:firstLineChars="200"/>
        <w:rPr>
          <w:rFonts w:hAnsi="黑体"/>
          <w:sz w:val="28"/>
          <w:szCs w:val="28"/>
          <w:lang w:eastAsia="zh-CN"/>
        </w:rPr>
      </w:pPr>
      <w:r>
        <w:rPr>
          <w:rFonts w:hint="eastAsia" w:hAnsi="黑体"/>
          <w:sz w:val="28"/>
          <w:szCs w:val="28"/>
          <w:lang w:eastAsia="zh-CN"/>
        </w:rPr>
        <w:t>注：各市分配数额=300×（该市</w:t>
      </w:r>
      <w:r>
        <w:rPr>
          <w:rFonts w:hAnsi="黑体"/>
          <w:sz w:val="28"/>
          <w:szCs w:val="28"/>
          <w:lang w:eastAsia="zh-CN"/>
        </w:rPr>
        <w:t>2021</w:t>
      </w:r>
      <w:r>
        <w:rPr>
          <w:rFonts w:hint="eastAsia" w:hAnsi="黑体"/>
          <w:sz w:val="28"/>
          <w:szCs w:val="28"/>
          <w:lang w:eastAsia="zh-CN"/>
        </w:rPr>
        <w:t xml:space="preserve"> 年中职学校专任教师数/全省中职学校专任教师数）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方正小标宋_GBK"/>
    <w:panose1 w:val="02010601030101010101"/>
    <w:charset w:val="00"/>
    <w:family w:val="script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599BD"/>
    <w:rsid w:val="7FD59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2022-11-25T17:10:00Z</dcterms:created>
  <dc:creator>blue</dc:creator>
  <cp:lastModifiedBy>blue</cp:lastModifiedBy>
  <dcterms:modified xsi:type="dcterms:W3CDTF">2022-11-25T17:10:37Z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5B5D3A5F83AFC92E6F8680638D79382F</vt:lpwstr>
  </property>
</Properties>
</file>