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首批省级校外美育实践基地名单</w:t>
      </w:r>
    </w:p>
    <w:tbl>
      <w:tblPr>
        <w:tblStyle w:val="7"/>
        <w:tblW w:w="1390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24"/>
        <w:gridCol w:w="2835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6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单位名称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ascii="黑体" w:hAnsi="黑体" w:eastAsia="黑体" w:cs="宋体"/>
                <w:kern w:val="0"/>
                <w:sz w:val="22"/>
              </w:rPr>
              <w:t>所属类别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ascii="黑体" w:hAnsi="黑体" w:eastAsia="黑体" w:cs="宋体"/>
                <w:kern w:val="0"/>
                <w:sz w:val="22"/>
              </w:rPr>
              <w:t>具体类别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山东美术馆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美术馆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山东省青少年宫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青少年宫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山东博物馆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山东省文化馆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山东省妇女儿童活动中心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妇女儿童活动中心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山东省吕剧艺术保护传承中心（山东省吕剧院）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综合文化活动中心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孔子博物馆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山东省京剧院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山东省柳子戏艺术保护传承中心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济南市儿童艺术剧院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山东中演文化传播有限公司（山东省会大剧院）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济南市美术馆（济南画院）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美术馆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济南市博物馆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济南市文化馆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青岛市美术馆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美术馆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青岛市京剧院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青岛大剧院管理有限公司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青岛市话剧院（青岛市话剧院有限公司）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淄博陶瓷琉璃博物馆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淄博市博物馆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淄博市文化馆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枣庄市博物馆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山东省滕州市剧院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东营市美术馆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美术馆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东营市吕剧博物馆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烟台市青少年宫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青少年宫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烟台美术博物馆（烟台画院）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美术馆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潍坊市图书馆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潍坊市青少年发展服务中心（潍坊市青少年宫）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青少年宫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潍坊市保利大剧院管理有限公司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曲阜市三孔文化旅游服务有限责任公司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济宁市博物馆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济宁市艺术剧院有限责任公司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泰安市美术馆（泰山画院）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美术馆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泰安主题党日活动中心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红色文化教育基地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威海市中小学生综合实践教育中心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综合文化活动中心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威海市群众艺术馆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日照城投聚橙剧院管理有限公司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日照市科技馆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科技馆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临沂市博物馆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临沂市图书馆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临沂市青少年示范性综合实践基地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综合文化活动中心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德州市文化馆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德州市博物馆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德州市美术馆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美术馆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聊城市孔繁森精神教学基地服务中心</w:t>
            </w: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（孔繁森同志纪念馆）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纪念馆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聊城市京剧院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滨州市文化馆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群艺活动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滨州保利大剧院管理有限公司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表演艺术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剧院（音乐厅）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6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宋体" w:eastAsia="仿宋_GB2312" w:cs="Courier New"/>
                <w:kern w:val="0"/>
                <w:sz w:val="22"/>
              </w:rPr>
              <w:t>菏泽市美术馆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博览展览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2"/>
              </w:rPr>
              <w:t>美术馆</w:t>
            </w:r>
          </w:p>
        </w:tc>
      </w:tr>
    </w:tbl>
    <w:p>
      <w:pPr>
        <w:rPr>
          <w:rFonts w:ascii="仿宋_GB2312" w:eastAsia="仿宋_GB2312"/>
        </w:rPr>
      </w:pPr>
    </w:p>
    <w:p>
      <w:pPr>
        <w:pStyle w:val="2"/>
        <w:widowControl w:val="0"/>
        <w:spacing w:before="0" w:beforeAutospacing="0" w:after="0" w:afterAutospacing="0" w:line="64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pStyle w:val="2"/>
        <w:widowControl w:val="0"/>
        <w:spacing w:before="0" w:beforeAutospacing="0" w:after="0" w:afterAutospacing="0" w:line="640" w:lineRule="exact"/>
      </w:pPr>
      <w:r>
        <w:t xml:space="preserve"> 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center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2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44"/>
    <w:rsid w:val="000B35FB"/>
    <w:rsid w:val="000B3608"/>
    <w:rsid w:val="003E7FF0"/>
    <w:rsid w:val="00442AB8"/>
    <w:rsid w:val="00453400"/>
    <w:rsid w:val="00482DAE"/>
    <w:rsid w:val="00633B60"/>
    <w:rsid w:val="007E5173"/>
    <w:rsid w:val="00872244"/>
    <w:rsid w:val="008F7A1C"/>
    <w:rsid w:val="00914F16"/>
    <w:rsid w:val="009252C1"/>
    <w:rsid w:val="009E495D"/>
    <w:rsid w:val="00B40AB3"/>
    <w:rsid w:val="00B64033"/>
    <w:rsid w:val="00C35126"/>
    <w:rsid w:val="00CD2915"/>
    <w:rsid w:val="00CF67CD"/>
    <w:rsid w:val="00EF35E3"/>
    <w:rsid w:val="00FA1295"/>
    <w:rsid w:val="058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Theme="minorEastAsia" w:cstheme="minorBidi"/>
      <w:sz w:val="30"/>
      <w:szCs w:val="18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宋体" w:hAnsi="宋体"/>
      <w:sz w:val="30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262</Words>
  <Characters>1499</Characters>
  <Lines>12</Lines>
  <Paragraphs>3</Paragraphs>
  <TotalTime>107</TotalTime>
  <ScaleCrop>false</ScaleCrop>
  <LinksUpToDate>false</LinksUpToDate>
  <CharactersWithSpaces>1758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2023-07-26T09:05:00Z</dcterms:created>
  <dc:creator>体育卫生与艺术教育处</dc:creator>
  <cp:lastModifiedBy>z</cp:lastModifiedBy>
  <cp:lastPrinted>2023-07-27T07:33:00Z</cp:lastPrinted>
  <dcterms:modified xsi:type="dcterms:W3CDTF">2023-08-14T01:44:53Z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