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各市推荐限额表</w:t>
      </w:r>
    </w:p>
    <w:bookmarkEnd w:id="0"/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3721"/>
        <w:gridCol w:w="24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CESI黑体-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CESI黑体-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3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CESI黑体-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CESI黑体-GB2312"/>
                <w:kern w:val="0"/>
                <w:sz w:val="32"/>
                <w:szCs w:val="32"/>
              </w:rPr>
              <w:t>市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CESI黑体-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CESI黑体-GB2312"/>
                <w:kern w:val="0"/>
                <w:sz w:val="32"/>
                <w:szCs w:val="32"/>
              </w:rPr>
              <w:t>分配数额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济南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青岛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淄博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枣庄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东营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烟台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潍坊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济宁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泰安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威海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日照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临沂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德州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聊城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滨州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菏泽</w:t>
            </w:r>
          </w:p>
        </w:tc>
        <w:tc>
          <w:tcPr>
            <w:tcW w:w="2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</w:tr>
    </w:tbl>
    <w:p>
      <w:pPr>
        <w:spacing w:line="56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说明：</w:t>
      </w:r>
      <w:r>
        <w:rPr>
          <w:rFonts w:hint="eastAsia" w:ascii="楷体" w:hAnsi="楷体" w:eastAsia="楷体"/>
          <w:sz w:val="28"/>
          <w:szCs w:val="28"/>
        </w:rPr>
        <w:t>依据2022年山东教育事业统计“专任教师数”和职业教育</w:t>
      </w:r>
      <w:r>
        <w:rPr>
          <w:rFonts w:ascii="楷体" w:hAnsi="楷体" w:eastAsia="楷体"/>
          <w:sz w:val="28"/>
          <w:szCs w:val="28"/>
        </w:rPr>
        <w:t>改革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发展情况</w:t>
      </w:r>
      <w:r>
        <w:rPr>
          <w:rFonts w:hint="eastAsia" w:ascii="楷体" w:hAnsi="楷体" w:eastAsia="楷体"/>
          <w:sz w:val="28"/>
          <w:szCs w:val="28"/>
        </w:rPr>
        <w:t>核定推荐名额。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A4851"/>
    <w:rsid w:val="571A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2023-12-18T06:48:00Z</dcterms:created>
  <dc:creator>z</dc:creator>
  <cp:lastModifiedBy>z</cp:lastModifiedBy>
  <dcterms:modified xsi:type="dcterms:W3CDTF">2023-12-18T06:49:38Z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