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Style w:val="14"/>
          <w:rFonts w:ascii="方正小标宋简体" w:hAnsi="宋体" w:eastAsia="方正小标宋简体" w:cs="宋体"/>
          <w:bCs w:val="0"/>
          <w:color w:val="000000"/>
          <w:sz w:val="30"/>
          <w:szCs w:val="30"/>
        </w:rPr>
      </w:pPr>
      <w:r>
        <w:rPr>
          <w:rStyle w:val="14"/>
          <w:rFonts w:hint="eastAsia" w:ascii="方正小标宋简体" w:hAnsi="宋体" w:eastAsia="方正小标宋简体" w:cs="宋体"/>
          <w:bCs w:val="0"/>
          <w:color w:val="000000"/>
          <w:sz w:val="30"/>
          <w:szCs w:val="30"/>
        </w:rPr>
        <w:t>山东海事职业学院</w:t>
      </w:r>
    </w:p>
    <w:p>
      <w:pPr>
        <w:spacing w:line="580" w:lineRule="exact"/>
        <w:jc w:val="center"/>
        <w:rPr>
          <w:rStyle w:val="14"/>
          <w:rFonts w:ascii="方正小标宋简体" w:hAnsi="宋体" w:eastAsia="方正小标宋简体" w:cs="宋体"/>
          <w:color w:val="000000"/>
          <w:sz w:val="30"/>
          <w:szCs w:val="30"/>
        </w:rPr>
      </w:pPr>
      <w:r>
        <w:rPr>
          <w:rStyle w:val="14"/>
          <w:rFonts w:hint="eastAsia" w:ascii="方正小标宋简体" w:hAnsi="宋体" w:eastAsia="方正小标宋简体" w:cs="宋体"/>
          <w:bCs w:val="0"/>
          <w:color w:val="000000"/>
          <w:sz w:val="30"/>
          <w:szCs w:val="30"/>
        </w:rPr>
        <w:t>2019年单独招生（第二批）招生章程</w:t>
      </w:r>
    </w:p>
    <w:p>
      <w:pPr>
        <w:pStyle w:val="5"/>
        <w:widowControl/>
        <w:spacing w:before="156" w:beforeLines="50" w:beforeAutospacing="0" w:after="156" w:afterLines="50" w:afterAutospacing="0" w:line="360" w:lineRule="auto"/>
        <w:jc w:val="center"/>
        <w:rPr>
          <w:rFonts w:ascii="仿宋" w:hAnsi="仿宋" w:eastAsia="仿宋" w:cs="仿宋"/>
          <w:b/>
          <w:bCs/>
          <w:color w:val="000000"/>
          <w:sz w:val="28"/>
          <w:szCs w:val="28"/>
        </w:rPr>
      </w:pPr>
      <w:r>
        <w:rPr>
          <w:rFonts w:hint="eastAsia" w:ascii="仿宋" w:hAnsi="仿宋" w:eastAsia="仿宋" w:cs="仿宋"/>
          <w:b/>
          <w:bCs/>
          <w:color w:val="000000"/>
          <w:sz w:val="28"/>
          <w:szCs w:val="28"/>
        </w:rPr>
        <w:t>第一章 总则</w:t>
      </w:r>
    </w:p>
    <w:p>
      <w:pPr>
        <w:pStyle w:val="5"/>
        <w:widowControl/>
        <w:spacing w:beforeAutospacing="0" w:afterAutospacing="0" w:line="360" w:lineRule="auto"/>
        <w:ind w:firstLine="480" w:firstLineChars="200"/>
        <w:jc w:val="both"/>
        <w:rPr>
          <w:rFonts w:ascii="仿宋" w:hAnsi="仿宋" w:eastAsia="仿宋" w:cs="仿宋"/>
          <w:color w:val="000000"/>
        </w:rPr>
      </w:pPr>
      <w:r>
        <w:rPr>
          <w:rFonts w:hint="eastAsia" w:ascii="仿宋" w:hAnsi="仿宋" w:eastAsia="仿宋" w:cs="仿宋"/>
          <w:color w:val="000000"/>
        </w:rPr>
        <w:t>为贯彻落实《国务院关于深化考试招生制度改革的实施意见》（国发〔</w:t>
      </w:r>
      <w:r>
        <w:rPr>
          <w:rFonts w:ascii="仿宋" w:hAnsi="仿宋" w:eastAsia="仿宋" w:cs="仿宋"/>
          <w:color w:val="000000"/>
        </w:rPr>
        <w:t>2014〕35号）和国务院2019年《政府工作报告》关于全国高职大规模扩招100万人要求，</w:t>
      </w:r>
      <w:r>
        <w:rPr>
          <w:rFonts w:hint="eastAsia" w:ascii="仿宋" w:hAnsi="仿宋" w:eastAsia="仿宋" w:cs="仿宋"/>
          <w:b w:val="0"/>
          <w:i w:val="0"/>
          <w:caps w:val="0"/>
          <w:color w:val="000000"/>
          <w:spacing w:val="0"/>
          <w:sz w:val="24"/>
          <w:szCs w:val="24"/>
        </w:rPr>
        <w:t>根据《山东省高等职业院校扩招实施方案》，</w:t>
      </w:r>
      <w:r>
        <w:rPr>
          <w:rFonts w:ascii="仿宋" w:hAnsi="仿宋" w:eastAsia="仿宋" w:cs="仿宋"/>
          <w:color w:val="000000"/>
        </w:rPr>
        <w:t>结合学院招生工作的具体情况，制定本章程。</w:t>
      </w:r>
    </w:p>
    <w:p>
      <w:pPr>
        <w:pStyle w:val="5"/>
        <w:widowControl/>
        <w:spacing w:beforeAutospacing="0" w:afterAutospacing="0" w:line="360" w:lineRule="auto"/>
        <w:ind w:firstLine="480" w:firstLineChars="200"/>
        <w:jc w:val="both"/>
        <w:rPr>
          <w:rFonts w:ascii="仿宋" w:hAnsi="仿宋" w:eastAsia="仿宋" w:cs="仿宋"/>
          <w:color w:val="000000"/>
        </w:rPr>
      </w:pPr>
      <w:r>
        <w:rPr>
          <w:rFonts w:ascii="仿宋" w:hAnsi="仿宋" w:eastAsia="仿宋" w:cs="仿宋"/>
          <w:color w:val="000000"/>
        </w:rPr>
        <w:t>第一条 本章程适用于山东海事职业学院</w:t>
      </w:r>
      <w:r>
        <w:rPr>
          <w:rFonts w:hint="eastAsia" w:ascii="仿宋" w:hAnsi="仿宋" w:eastAsia="仿宋" w:cs="仿宋"/>
          <w:color w:val="000000"/>
        </w:rPr>
        <w:t>专科层次单独招生(第二批)工作。</w:t>
      </w:r>
    </w:p>
    <w:p>
      <w:pPr>
        <w:pStyle w:val="5"/>
        <w:widowControl/>
        <w:spacing w:beforeAutospacing="0" w:afterAutospacing="0" w:line="360" w:lineRule="auto"/>
        <w:ind w:firstLine="480" w:firstLineChars="200"/>
        <w:jc w:val="both"/>
        <w:rPr>
          <w:rFonts w:ascii="仿宋" w:hAnsi="仿宋" w:eastAsia="仿宋" w:cs="仿宋"/>
          <w:color w:val="000000"/>
        </w:rPr>
      </w:pPr>
      <w:r>
        <w:rPr>
          <w:rFonts w:ascii="仿宋" w:hAnsi="仿宋" w:eastAsia="仿宋" w:cs="仿宋"/>
          <w:color w:val="000000"/>
        </w:rPr>
        <w:t>第二条 山东海事职业学院招生工作贯彻“公平竞争、公正选拔、公开程序、德智体美全面考核、综合评价、择优录取”的原则。</w:t>
      </w:r>
    </w:p>
    <w:p>
      <w:pPr>
        <w:pStyle w:val="5"/>
        <w:widowControl/>
        <w:spacing w:beforeAutospacing="0" w:afterAutospacing="0" w:line="360" w:lineRule="auto"/>
        <w:ind w:firstLine="480" w:firstLineChars="200"/>
        <w:jc w:val="both"/>
        <w:rPr>
          <w:rFonts w:ascii="仿宋" w:hAnsi="仿宋" w:eastAsia="仿宋" w:cs="仿宋"/>
          <w:color w:val="000000"/>
        </w:rPr>
      </w:pPr>
      <w:r>
        <w:rPr>
          <w:rFonts w:ascii="仿宋" w:hAnsi="仿宋" w:eastAsia="仿宋" w:cs="仿宋"/>
          <w:color w:val="000000"/>
        </w:rPr>
        <w:t>第三条 山东海事职业学院招生工作接受纪检监察部门、新闻媒体、考生及其家长和社会各界的监督。</w:t>
      </w:r>
    </w:p>
    <w:p>
      <w:pPr>
        <w:pStyle w:val="5"/>
        <w:widowControl/>
        <w:spacing w:before="156" w:beforeLines="50" w:beforeAutospacing="0" w:after="156" w:afterLines="50" w:afterAutospacing="0" w:line="360" w:lineRule="auto"/>
        <w:jc w:val="center"/>
        <w:rPr>
          <w:rFonts w:ascii="仿宋" w:hAnsi="仿宋" w:eastAsia="仿宋" w:cs="仿宋"/>
          <w:b/>
          <w:bCs/>
          <w:color w:val="000000"/>
          <w:sz w:val="28"/>
          <w:szCs w:val="28"/>
        </w:rPr>
      </w:pPr>
      <w:r>
        <w:rPr>
          <w:rFonts w:hint="eastAsia" w:ascii="仿宋" w:hAnsi="仿宋" w:eastAsia="仿宋" w:cs="仿宋"/>
          <w:b/>
          <w:bCs/>
          <w:color w:val="000000"/>
          <w:sz w:val="28"/>
          <w:szCs w:val="28"/>
        </w:rPr>
        <w:t>第二章 学院概况</w:t>
      </w:r>
    </w:p>
    <w:p>
      <w:pPr>
        <w:pStyle w:val="5"/>
        <w:widowControl/>
        <w:spacing w:beforeAutospacing="0" w:afterAutospacing="0" w:line="360" w:lineRule="auto"/>
        <w:ind w:firstLine="480" w:firstLineChars="200"/>
        <w:jc w:val="both"/>
        <w:rPr>
          <w:rFonts w:ascii="仿宋" w:hAnsi="仿宋" w:eastAsia="仿宋" w:cs="仿宋"/>
          <w:color w:val="000000"/>
        </w:rPr>
      </w:pPr>
      <w:r>
        <w:rPr>
          <w:rFonts w:ascii="仿宋" w:hAnsi="仿宋" w:eastAsia="仿宋" w:cs="仿宋"/>
          <w:color w:val="000000"/>
        </w:rPr>
        <w:t>第四条 学院基本信息 </w:t>
      </w:r>
    </w:p>
    <w:p>
      <w:pPr>
        <w:pStyle w:val="5"/>
        <w:widowControl/>
        <w:spacing w:beforeAutospacing="0" w:afterAutospacing="0" w:line="360" w:lineRule="auto"/>
        <w:ind w:firstLine="480" w:firstLineChars="200"/>
        <w:jc w:val="both"/>
        <w:rPr>
          <w:rFonts w:ascii="仿宋" w:hAnsi="仿宋" w:eastAsia="仿宋" w:cs="仿宋"/>
          <w:color w:val="000000"/>
        </w:rPr>
      </w:pPr>
      <w:r>
        <w:rPr>
          <w:rFonts w:ascii="仿宋" w:hAnsi="仿宋" w:eastAsia="仿宋" w:cs="仿宋"/>
          <w:color w:val="000000"/>
        </w:rPr>
        <w:t>学院全称：山东海事职业学院</w:t>
      </w:r>
    </w:p>
    <w:p>
      <w:pPr>
        <w:pStyle w:val="5"/>
        <w:widowControl/>
        <w:spacing w:beforeAutospacing="0" w:afterAutospacing="0" w:line="360" w:lineRule="auto"/>
        <w:ind w:firstLine="480" w:firstLineChars="200"/>
        <w:jc w:val="both"/>
        <w:rPr>
          <w:rFonts w:ascii="仿宋" w:hAnsi="仿宋" w:eastAsia="仿宋" w:cs="仿宋"/>
          <w:color w:val="000000"/>
        </w:rPr>
      </w:pPr>
      <w:r>
        <w:rPr>
          <w:rFonts w:ascii="仿宋" w:hAnsi="仿宋" w:eastAsia="仿宋" w:cs="仿宋"/>
          <w:color w:val="000000"/>
        </w:rPr>
        <w:t>学院代码：14346</w:t>
      </w:r>
    </w:p>
    <w:p>
      <w:pPr>
        <w:pStyle w:val="5"/>
        <w:widowControl/>
        <w:spacing w:beforeAutospacing="0" w:afterAutospacing="0" w:line="360" w:lineRule="auto"/>
        <w:ind w:firstLine="480" w:firstLineChars="200"/>
        <w:jc w:val="both"/>
        <w:rPr>
          <w:rFonts w:ascii="仿宋" w:hAnsi="仿宋" w:eastAsia="仿宋" w:cs="仿宋"/>
          <w:color w:val="000000"/>
        </w:rPr>
      </w:pPr>
      <w:r>
        <w:rPr>
          <w:rFonts w:ascii="仿宋" w:hAnsi="仿宋" w:eastAsia="仿宋" w:cs="仿宋"/>
          <w:color w:val="000000"/>
        </w:rPr>
        <w:t>学院地址：山东省潍坊市滨海经济开发区科教创新园区智慧南二街1000号</w:t>
      </w:r>
    </w:p>
    <w:p>
      <w:pPr>
        <w:pStyle w:val="5"/>
        <w:widowControl/>
        <w:spacing w:beforeAutospacing="0" w:afterAutospacing="0" w:line="360" w:lineRule="auto"/>
        <w:ind w:firstLine="480" w:firstLineChars="200"/>
        <w:jc w:val="both"/>
        <w:rPr>
          <w:rFonts w:ascii="仿宋" w:hAnsi="仿宋" w:eastAsia="仿宋" w:cs="仿宋"/>
          <w:color w:val="000000"/>
        </w:rPr>
      </w:pPr>
      <w:r>
        <w:rPr>
          <w:rFonts w:ascii="仿宋" w:hAnsi="仿宋" w:eastAsia="仿宋" w:cs="仿宋"/>
          <w:color w:val="000000"/>
        </w:rPr>
        <w:t>邮政编码：261108</w:t>
      </w:r>
    </w:p>
    <w:p>
      <w:pPr>
        <w:pStyle w:val="5"/>
        <w:widowControl/>
        <w:spacing w:beforeAutospacing="0" w:afterAutospacing="0" w:line="360" w:lineRule="auto"/>
        <w:ind w:firstLine="480" w:firstLineChars="200"/>
        <w:jc w:val="both"/>
        <w:rPr>
          <w:rFonts w:ascii="仿宋" w:hAnsi="仿宋" w:eastAsia="仿宋" w:cs="仿宋"/>
          <w:color w:val="000000"/>
        </w:rPr>
      </w:pPr>
      <w:r>
        <w:rPr>
          <w:rFonts w:ascii="仿宋" w:hAnsi="仿宋" w:eastAsia="仿宋" w:cs="仿宋"/>
          <w:color w:val="000000"/>
        </w:rPr>
        <w:t>办学层次：专科（高职）</w:t>
      </w:r>
    </w:p>
    <w:p>
      <w:pPr>
        <w:pStyle w:val="5"/>
        <w:widowControl/>
        <w:spacing w:beforeAutospacing="0" w:afterAutospacing="0" w:line="360" w:lineRule="auto"/>
        <w:ind w:firstLine="480" w:firstLineChars="200"/>
        <w:jc w:val="both"/>
        <w:rPr>
          <w:rFonts w:ascii="仿宋" w:hAnsi="仿宋" w:eastAsia="仿宋" w:cs="仿宋"/>
          <w:color w:val="000000"/>
        </w:rPr>
      </w:pPr>
      <w:r>
        <w:rPr>
          <w:rFonts w:ascii="仿宋" w:hAnsi="仿宋" w:eastAsia="仿宋" w:cs="仿宋"/>
          <w:color w:val="000000"/>
        </w:rPr>
        <w:t>学习形式：全日制</w:t>
      </w:r>
    </w:p>
    <w:p>
      <w:pPr>
        <w:pStyle w:val="5"/>
        <w:widowControl/>
        <w:spacing w:beforeAutospacing="0" w:afterAutospacing="0" w:line="360" w:lineRule="auto"/>
        <w:ind w:firstLine="480" w:firstLineChars="200"/>
        <w:jc w:val="both"/>
        <w:rPr>
          <w:rFonts w:ascii="仿宋" w:hAnsi="仿宋" w:eastAsia="仿宋" w:cs="仿宋"/>
          <w:color w:val="000000"/>
        </w:rPr>
      </w:pPr>
      <w:r>
        <w:rPr>
          <w:rFonts w:ascii="仿宋" w:hAnsi="仿宋" w:eastAsia="仿宋" w:cs="仿宋"/>
          <w:color w:val="000000"/>
        </w:rPr>
        <w:t>学制：三年</w:t>
      </w:r>
    </w:p>
    <w:p>
      <w:pPr>
        <w:pStyle w:val="5"/>
        <w:widowControl/>
        <w:spacing w:beforeAutospacing="0" w:afterAutospacing="0" w:line="360" w:lineRule="auto"/>
        <w:ind w:firstLine="480" w:firstLineChars="200"/>
        <w:jc w:val="both"/>
        <w:rPr>
          <w:rFonts w:ascii="仿宋" w:hAnsi="仿宋" w:eastAsia="仿宋" w:cs="仿宋"/>
          <w:color w:val="000000"/>
        </w:rPr>
      </w:pPr>
      <w:r>
        <w:rPr>
          <w:rFonts w:ascii="仿宋" w:hAnsi="仿宋" w:eastAsia="仿宋" w:cs="仿宋"/>
          <w:color w:val="000000"/>
        </w:rPr>
        <w:t>办学类型：民办全日制普通高等职业学院</w:t>
      </w:r>
    </w:p>
    <w:p>
      <w:pPr>
        <w:pStyle w:val="5"/>
        <w:widowControl/>
        <w:spacing w:beforeAutospacing="0" w:afterAutospacing="0" w:line="360" w:lineRule="auto"/>
        <w:ind w:firstLine="480" w:firstLineChars="200"/>
        <w:jc w:val="both"/>
        <w:rPr>
          <w:rFonts w:ascii="仿宋" w:hAnsi="仿宋" w:eastAsia="仿宋" w:cs="仿宋"/>
          <w:color w:val="000000"/>
        </w:rPr>
      </w:pPr>
      <w:r>
        <w:rPr>
          <w:rFonts w:ascii="仿宋" w:hAnsi="仿宋" w:eastAsia="仿宋" w:cs="仿宋"/>
          <w:color w:val="000000"/>
        </w:rPr>
        <w:t>第五条 学院简介</w:t>
      </w:r>
    </w:p>
    <w:p>
      <w:pPr>
        <w:pStyle w:val="5"/>
        <w:widowControl/>
        <w:spacing w:beforeAutospacing="0" w:afterAutospacing="0" w:line="360" w:lineRule="auto"/>
        <w:ind w:firstLine="480" w:firstLineChars="200"/>
        <w:jc w:val="both"/>
        <w:rPr>
          <w:rFonts w:ascii="仿宋" w:hAnsi="仿宋" w:eastAsia="仿宋" w:cs="仿宋"/>
          <w:color w:val="000000"/>
        </w:rPr>
      </w:pPr>
      <w:r>
        <w:rPr>
          <w:rFonts w:ascii="仿宋" w:hAnsi="仿宋" w:eastAsia="仿宋" w:cs="仿宋"/>
          <w:color w:val="000000"/>
        </w:rPr>
        <w:t>山东海事职业学院是山东省人民政府批准设立，国家教育部备案，由潍坊市政府注资并主导举办的全日制普通高职专科院校。学院位于世界风筝之都—山东省潍坊市。学院毗邻国家一类开放口岸—潍坊森达美港和白浪河游艇旅游码头，位于大学城核心位置，地理位置优越，交通便利，周边配套设施齐全。学院占地面积822亩，建筑面积19.42万平方米，教学仪器设备5409余万元，纸质图书42万册，专兼职教师330余人，现有在校生6046人。</w:t>
      </w:r>
    </w:p>
    <w:p>
      <w:pPr>
        <w:pStyle w:val="5"/>
        <w:widowControl/>
        <w:spacing w:beforeAutospacing="0" w:afterAutospacing="0" w:line="360" w:lineRule="auto"/>
        <w:ind w:firstLine="480" w:firstLineChars="200"/>
        <w:jc w:val="both"/>
        <w:rPr>
          <w:rFonts w:ascii="仿宋" w:hAnsi="仿宋" w:eastAsia="仿宋" w:cs="仿宋"/>
          <w:color w:val="000000"/>
        </w:rPr>
      </w:pPr>
      <w:r>
        <w:rPr>
          <w:rFonts w:ascii="仿宋" w:hAnsi="仿宋" w:eastAsia="仿宋" w:cs="仿宋"/>
          <w:color w:val="000000"/>
        </w:rPr>
        <w:t>学院大力加强特色、骨干专业建设，积极对接新旧动能转换“十强”产业需求，对照高端装备、智慧海洋、精品旅游和现代金融四个方面，优化专业结构和人才培养模式，加强应用型、复合型、创新型人才培养。做大做强涵盖金融、物流、港口、航空、高铁、国际邮轮乘务和餐饮服务等现代服务业所需要的高端技能服务型人才培养。</w:t>
      </w:r>
    </w:p>
    <w:p>
      <w:pPr>
        <w:pStyle w:val="5"/>
        <w:widowControl/>
        <w:spacing w:beforeAutospacing="0" w:afterAutospacing="0" w:line="360" w:lineRule="auto"/>
        <w:ind w:firstLine="480" w:firstLineChars="200"/>
        <w:jc w:val="both"/>
        <w:rPr>
          <w:rFonts w:ascii="仿宋" w:hAnsi="仿宋" w:eastAsia="仿宋" w:cs="仿宋"/>
          <w:color w:val="000000"/>
        </w:rPr>
      </w:pPr>
      <w:r>
        <w:rPr>
          <w:rFonts w:ascii="仿宋" w:hAnsi="仿宋" w:eastAsia="仿宋" w:cs="仿宋"/>
          <w:color w:val="000000"/>
        </w:rPr>
        <w:t>学院与北京东方通航教育科技有限公司合作建成“北方（潍坊）航空高铁综合公共实训基地”并投入运行，实景飞机客舱、实际舱门训练器、应急训练设备、安全训练设备等航空、高铁服务情景教学环境，面向全国空中乘务和高铁乘务专业的合作联盟院校提供技术技能性实训服务，年培训规模达3600余人次。</w:t>
      </w:r>
    </w:p>
    <w:p>
      <w:pPr>
        <w:pStyle w:val="5"/>
        <w:widowControl/>
        <w:spacing w:beforeAutospacing="0" w:afterAutospacing="0" w:line="360" w:lineRule="auto"/>
        <w:ind w:firstLine="480" w:firstLineChars="200"/>
        <w:jc w:val="both"/>
        <w:rPr>
          <w:rFonts w:ascii="仿宋" w:hAnsi="仿宋" w:eastAsia="仿宋" w:cs="仿宋"/>
          <w:color w:val="000000"/>
        </w:rPr>
      </w:pPr>
      <w:r>
        <w:rPr>
          <w:rFonts w:ascii="仿宋" w:hAnsi="仿宋" w:eastAsia="仿宋" w:cs="仿宋"/>
          <w:color w:val="000000"/>
        </w:rPr>
        <w:t>学院与京东和新迈尔（北京）科技有限公司合作建设“京东校园实训中心”，打造区域电子商务交易和大数据分析平台。以二级学院为载体，推动校企双方深度融合，进行人才培养模式改革，实现教学与职业接轨、学生与岗位接轨、实习与就业接轨。</w:t>
      </w:r>
    </w:p>
    <w:p>
      <w:pPr>
        <w:pStyle w:val="5"/>
        <w:widowControl/>
        <w:spacing w:before="156" w:beforeLines="50" w:beforeAutospacing="0" w:after="156" w:afterLines="50" w:afterAutospacing="0" w:line="360" w:lineRule="auto"/>
        <w:jc w:val="center"/>
        <w:rPr>
          <w:rFonts w:ascii="仿宋" w:hAnsi="仿宋" w:eastAsia="仿宋" w:cs="仿宋"/>
          <w:b/>
          <w:bCs/>
          <w:color w:val="000000"/>
          <w:sz w:val="28"/>
          <w:szCs w:val="28"/>
        </w:rPr>
      </w:pPr>
      <w:r>
        <w:rPr>
          <w:rFonts w:hint="eastAsia" w:ascii="仿宋" w:hAnsi="仿宋" w:eastAsia="仿宋" w:cs="仿宋"/>
          <w:b/>
          <w:bCs/>
          <w:color w:val="000000"/>
          <w:sz w:val="28"/>
          <w:szCs w:val="28"/>
        </w:rPr>
        <w:t>第三章 组织机构</w:t>
      </w:r>
    </w:p>
    <w:p>
      <w:pPr>
        <w:pStyle w:val="5"/>
        <w:widowControl/>
        <w:spacing w:beforeAutospacing="0" w:afterAutospacing="0" w:line="360" w:lineRule="auto"/>
        <w:ind w:firstLine="480" w:firstLineChars="200"/>
        <w:jc w:val="both"/>
        <w:rPr>
          <w:rFonts w:ascii="仿宋" w:hAnsi="仿宋" w:eastAsia="仿宋" w:cs="仿宋"/>
          <w:color w:val="000000"/>
        </w:rPr>
      </w:pPr>
      <w:r>
        <w:rPr>
          <w:rFonts w:ascii="仿宋" w:hAnsi="仿宋" w:eastAsia="仿宋" w:cs="仿宋"/>
          <w:color w:val="000000"/>
        </w:rPr>
        <w:t>第六条 山东海事职业学院成立以学院领导为组长的招生工作领导小组。领导小组负责组织制定招生政策和招生计划，讨论决定招生工作重大事宜。</w:t>
      </w:r>
    </w:p>
    <w:p>
      <w:pPr>
        <w:pStyle w:val="5"/>
        <w:widowControl/>
        <w:spacing w:beforeAutospacing="0" w:afterAutospacing="0" w:line="360" w:lineRule="auto"/>
        <w:ind w:firstLine="480" w:firstLineChars="200"/>
        <w:jc w:val="both"/>
        <w:rPr>
          <w:rFonts w:ascii="仿宋" w:hAnsi="仿宋" w:eastAsia="仿宋" w:cs="仿宋"/>
          <w:color w:val="000000"/>
        </w:rPr>
      </w:pPr>
      <w:r>
        <w:rPr>
          <w:rFonts w:ascii="仿宋" w:hAnsi="仿宋" w:eastAsia="仿宋" w:cs="仿宋"/>
          <w:color w:val="000000"/>
        </w:rPr>
        <w:t>第七条 学院招生工作办公室是组织和实施招生及其相关工作的常设机构，具体负责山东海事职业学院日常招生工作。</w:t>
      </w:r>
    </w:p>
    <w:p>
      <w:pPr>
        <w:pStyle w:val="5"/>
        <w:widowControl/>
        <w:spacing w:beforeAutospacing="0" w:afterAutospacing="0" w:line="360" w:lineRule="auto"/>
        <w:ind w:firstLine="480" w:firstLineChars="200"/>
        <w:jc w:val="both"/>
        <w:rPr>
          <w:rFonts w:ascii="仿宋" w:hAnsi="仿宋" w:eastAsia="仿宋" w:cs="仿宋"/>
          <w:color w:val="000000"/>
        </w:rPr>
      </w:pPr>
      <w:r>
        <w:rPr>
          <w:rFonts w:ascii="仿宋" w:hAnsi="仿宋" w:eastAsia="仿宋" w:cs="仿宋"/>
          <w:color w:val="000000"/>
        </w:rPr>
        <w:t>第八条 学院纪检监察部门对招生工作各业务环节进行全程检查和监督，保证招生工作的公开、公平、公正。</w:t>
      </w:r>
    </w:p>
    <w:p>
      <w:pPr>
        <w:pStyle w:val="5"/>
        <w:widowControl/>
        <w:spacing w:before="156" w:beforeLines="50" w:beforeAutospacing="0" w:after="156" w:afterLines="50" w:afterAutospacing="0" w:line="360" w:lineRule="auto"/>
        <w:jc w:val="center"/>
        <w:rPr>
          <w:rFonts w:ascii="仿宋" w:hAnsi="仿宋" w:eastAsia="仿宋" w:cs="仿宋"/>
          <w:b/>
          <w:bCs/>
          <w:sz w:val="28"/>
          <w:szCs w:val="28"/>
        </w:rPr>
      </w:pPr>
      <w:r>
        <w:rPr>
          <w:rFonts w:hint="eastAsia" w:ascii="仿宋" w:hAnsi="仿宋" w:eastAsia="仿宋" w:cs="仿宋"/>
          <w:b/>
          <w:bCs/>
          <w:sz w:val="28"/>
          <w:szCs w:val="28"/>
        </w:rPr>
        <w:t>第四章 招生专业及计划</w:t>
      </w:r>
    </w:p>
    <w:p>
      <w:pPr>
        <w:pStyle w:val="5"/>
        <w:widowControl/>
        <w:spacing w:beforeAutospacing="0" w:afterAutospacing="0" w:line="360" w:lineRule="auto"/>
        <w:ind w:firstLine="480" w:firstLineChars="200"/>
        <w:jc w:val="both"/>
        <w:rPr>
          <w:rFonts w:ascii="仿宋" w:hAnsi="仿宋" w:eastAsia="仿宋" w:cs="仿宋"/>
          <w:color w:val="000000"/>
        </w:rPr>
      </w:pPr>
      <w:r>
        <w:rPr>
          <w:rFonts w:ascii="仿宋" w:hAnsi="仿宋" w:eastAsia="仿宋" w:cs="仿宋"/>
        </w:rPr>
        <w:t>第</w:t>
      </w:r>
      <w:r>
        <w:rPr>
          <w:rFonts w:hint="eastAsia" w:ascii="仿宋" w:hAnsi="仿宋" w:eastAsia="仿宋" w:cs="仿宋"/>
        </w:rPr>
        <w:t>九</w:t>
      </w:r>
      <w:r>
        <w:rPr>
          <w:rFonts w:ascii="仿宋" w:hAnsi="仿宋" w:eastAsia="仿宋" w:cs="仿宋"/>
        </w:rPr>
        <w:t>条 招生专业</w:t>
      </w:r>
      <w:r>
        <w:rPr>
          <w:rFonts w:hint="eastAsia" w:ascii="仿宋" w:hAnsi="仿宋" w:eastAsia="仿宋" w:cs="仿宋"/>
        </w:rPr>
        <w:t>及计划</w:t>
      </w:r>
    </w:p>
    <w:tbl>
      <w:tblPr>
        <w:tblStyle w:val="6"/>
        <w:tblW w:w="8610" w:type="dxa"/>
        <w:tblInd w:w="0" w:type="dxa"/>
        <w:tblLayout w:type="fixed"/>
        <w:tblCellMar>
          <w:top w:w="0" w:type="dxa"/>
          <w:left w:w="0" w:type="dxa"/>
          <w:bottom w:w="0" w:type="dxa"/>
          <w:right w:w="0" w:type="dxa"/>
        </w:tblCellMar>
      </w:tblPr>
      <w:tblGrid>
        <w:gridCol w:w="2385"/>
        <w:gridCol w:w="1881"/>
        <w:gridCol w:w="2123"/>
        <w:gridCol w:w="2221"/>
      </w:tblGrid>
      <w:tr>
        <w:tblPrEx>
          <w:tblLayout w:type="fixed"/>
          <w:tblCellMar>
            <w:top w:w="0" w:type="dxa"/>
            <w:left w:w="0" w:type="dxa"/>
            <w:bottom w:w="0" w:type="dxa"/>
            <w:right w:w="0" w:type="dxa"/>
          </w:tblCellMar>
        </w:tblPrEx>
        <w:trPr>
          <w:trHeight w:val="420" w:hRule="atLeast"/>
        </w:trPr>
        <w:tc>
          <w:tcPr>
            <w:tcW w:w="238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5"/>
              <w:widowControl/>
              <w:spacing w:line="360" w:lineRule="auto"/>
              <w:jc w:val="center"/>
              <w:rPr>
                <w:rFonts w:ascii="等线" w:hAnsi="等线" w:eastAsia="等线" w:cs="等线"/>
                <w:sz w:val="19"/>
                <w:szCs w:val="19"/>
              </w:rPr>
            </w:pPr>
            <w:r>
              <w:rPr>
                <w:rFonts w:hint="eastAsia" w:ascii="等线" w:hAnsi="等线" w:eastAsia="等线" w:cs="等线"/>
                <w:sz w:val="19"/>
                <w:szCs w:val="19"/>
              </w:rPr>
              <w:t>招生专业</w:t>
            </w:r>
          </w:p>
        </w:tc>
        <w:tc>
          <w:tcPr>
            <w:tcW w:w="622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5"/>
              <w:widowControl/>
              <w:spacing w:line="360" w:lineRule="auto"/>
              <w:jc w:val="center"/>
              <w:rPr>
                <w:rFonts w:ascii="等线" w:hAnsi="等线" w:eastAsia="等线" w:cs="等线"/>
                <w:sz w:val="19"/>
                <w:szCs w:val="19"/>
              </w:rPr>
            </w:pPr>
            <w:r>
              <w:rPr>
                <w:rFonts w:hint="eastAsia" w:ascii="等线" w:hAnsi="等线" w:eastAsia="等线" w:cs="等线"/>
                <w:sz w:val="19"/>
                <w:szCs w:val="19"/>
              </w:rPr>
              <w:t>招生类别</w:t>
            </w:r>
          </w:p>
        </w:tc>
      </w:tr>
      <w:tr>
        <w:tblPrEx>
          <w:tblLayout w:type="fixed"/>
          <w:tblCellMar>
            <w:top w:w="0" w:type="dxa"/>
            <w:left w:w="0" w:type="dxa"/>
            <w:bottom w:w="0" w:type="dxa"/>
            <w:right w:w="0" w:type="dxa"/>
          </w:tblCellMar>
        </w:tblPrEx>
        <w:trPr>
          <w:trHeight w:val="468" w:hRule="atLeast"/>
        </w:trPr>
        <w:tc>
          <w:tcPr>
            <w:tcW w:w="23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5"/>
              <w:widowControl/>
              <w:spacing w:line="360" w:lineRule="auto"/>
              <w:jc w:val="center"/>
              <w:rPr>
                <w:rFonts w:ascii="等线" w:hAnsi="等线" w:eastAsia="等线" w:cs="等线"/>
                <w:sz w:val="19"/>
                <w:szCs w:val="19"/>
              </w:rPr>
            </w:pPr>
          </w:p>
        </w:tc>
        <w:tc>
          <w:tcPr>
            <w:tcW w:w="1881" w:type="dxa"/>
            <w:vMerge w:val="restart"/>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pStyle w:val="5"/>
              <w:widowControl/>
              <w:spacing w:line="360" w:lineRule="auto"/>
              <w:jc w:val="center"/>
              <w:rPr>
                <w:rFonts w:ascii="等线" w:hAnsi="等线" w:eastAsia="等线" w:cs="等线"/>
                <w:sz w:val="19"/>
                <w:szCs w:val="19"/>
              </w:rPr>
            </w:pPr>
            <w:r>
              <w:rPr>
                <w:rFonts w:hint="eastAsia" w:ascii="等线" w:hAnsi="等线" w:eastAsia="等线" w:cs="等线"/>
                <w:sz w:val="19"/>
                <w:szCs w:val="19"/>
              </w:rPr>
              <w:t>A类（普通类）</w:t>
            </w:r>
          </w:p>
        </w:tc>
        <w:tc>
          <w:tcPr>
            <w:tcW w:w="212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5"/>
              <w:widowControl/>
              <w:spacing w:line="360" w:lineRule="auto"/>
              <w:jc w:val="center"/>
              <w:rPr>
                <w:rFonts w:ascii="等线" w:hAnsi="等线" w:eastAsia="等线" w:cs="等线"/>
                <w:sz w:val="19"/>
                <w:szCs w:val="19"/>
              </w:rPr>
            </w:pPr>
            <w:r>
              <w:rPr>
                <w:rFonts w:hint="eastAsia" w:ascii="等线" w:hAnsi="等线" w:eastAsia="等线" w:cs="等线"/>
                <w:sz w:val="19"/>
                <w:szCs w:val="19"/>
              </w:rPr>
              <w:t>B类（退役军人）</w:t>
            </w:r>
          </w:p>
        </w:tc>
        <w:tc>
          <w:tcPr>
            <w:tcW w:w="222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5"/>
              <w:widowControl/>
              <w:spacing w:line="360" w:lineRule="auto"/>
              <w:jc w:val="center"/>
              <w:rPr>
                <w:rFonts w:ascii="等线" w:hAnsi="等线" w:eastAsia="等线" w:cs="等线"/>
                <w:sz w:val="19"/>
                <w:szCs w:val="19"/>
              </w:rPr>
            </w:pPr>
            <w:r>
              <w:rPr>
                <w:rFonts w:hint="eastAsia" w:ascii="等线" w:hAnsi="等线" w:eastAsia="等线" w:cs="等线"/>
                <w:sz w:val="19"/>
                <w:szCs w:val="19"/>
              </w:rPr>
              <w:t>C类（技术技能）</w:t>
            </w:r>
          </w:p>
        </w:tc>
      </w:tr>
      <w:tr>
        <w:tblPrEx>
          <w:tblLayout w:type="fixed"/>
          <w:tblCellMar>
            <w:top w:w="0" w:type="dxa"/>
            <w:left w:w="0" w:type="dxa"/>
            <w:bottom w:w="0" w:type="dxa"/>
            <w:right w:w="0" w:type="dxa"/>
          </w:tblCellMar>
        </w:tblPrEx>
        <w:trPr>
          <w:trHeight w:val="468" w:hRule="atLeast"/>
        </w:trPr>
        <w:tc>
          <w:tcPr>
            <w:tcW w:w="23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5"/>
              <w:widowControl/>
              <w:spacing w:line="360" w:lineRule="auto"/>
              <w:jc w:val="center"/>
              <w:rPr>
                <w:rFonts w:ascii="等线" w:hAnsi="等线" w:eastAsia="等线" w:cs="等线"/>
                <w:sz w:val="19"/>
                <w:szCs w:val="19"/>
              </w:rPr>
            </w:pPr>
          </w:p>
        </w:tc>
        <w:tc>
          <w:tcPr>
            <w:tcW w:w="1881"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pStyle w:val="5"/>
              <w:widowControl/>
              <w:spacing w:line="360" w:lineRule="auto"/>
              <w:jc w:val="center"/>
              <w:rPr>
                <w:rFonts w:ascii="等线" w:hAnsi="等线" w:eastAsia="等线" w:cs="等线"/>
                <w:sz w:val="19"/>
                <w:szCs w:val="19"/>
              </w:rPr>
            </w:pPr>
          </w:p>
        </w:tc>
        <w:tc>
          <w:tcPr>
            <w:tcW w:w="212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5"/>
              <w:widowControl/>
              <w:spacing w:line="360" w:lineRule="auto"/>
              <w:jc w:val="center"/>
              <w:rPr>
                <w:rFonts w:ascii="等线" w:hAnsi="等线" w:eastAsia="等线" w:cs="等线"/>
                <w:sz w:val="19"/>
                <w:szCs w:val="19"/>
              </w:rPr>
            </w:pPr>
          </w:p>
        </w:tc>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5"/>
              <w:widowControl/>
              <w:spacing w:line="360" w:lineRule="auto"/>
              <w:jc w:val="center"/>
              <w:rPr>
                <w:rFonts w:ascii="等线" w:hAnsi="等线" w:eastAsia="等线" w:cs="等线"/>
                <w:sz w:val="19"/>
                <w:szCs w:val="19"/>
              </w:rPr>
            </w:pPr>
          </w:p>
        </w:tc>
      </w:tr>
      <w:tr>
        <w:tblPrEx>
          <w:tblLayout w:type="fixed"/>
          <w:tblCellMar>
            <w:top w:w="0" w:type="dxa"/>
            <w:left w:w="0" w:type="dxa"/>
            <w:bottom w:w="0" w:type="dxa"/>
            <w:right w:w="0" w:type="dxa"/>
          </w:tblCellMar>
        </w:tblPrEx>
        <w:trPr>
          <w:trHeight w:val="285" w:hRule="atLeast"/>
        </w:trPr>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5"/>
              <w:widowControl/>
              <w:spacing w:line="360" w:lineRule="auto"/>
              <w:jc w:val="center"/>
              <w:rPr>
                <w:rFonts w:ascii="等线" w:hAnsi="等线" w:eastAsia="等线" w:cs="等线"/>
                <w:sz w:val="19"/>
                <w:szCs w:val="19"/>
              </w:rPr>
            </w:pPr>
            <w:r>
              <w:rPr>
                <w:rFonts w:hint="eastAsia" w:ascii="等线" w:hAnsi="等线" w:eastAsia="等线" w:cs="等线"/>
                <w:sz w:val="19"/>
                <w:szCs w:val="19"/>
              </w:rPr>
              <w:t>会计</w:t>
            </w:r>
          </w:p>
        </w:tc>
        <w:tc>
          <w:tcPr>
            <w:tcW w:w="18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5"/>
              <w:widowControl/>
              <w:spacing w:line="360" w:lineRule="auto"/>
              <w:jc w:val="center"/>
              <w:rPr>
                <w:rFonts w:ascii="等线" w:hAnsi="等线" w:eastAsia="等线" w:cs="等线"/>
                <w:sz w:val="19"/>
                <w:szCs w:val="19"/>
              </w:rPr>
            </w:pPr>
            <w:r>
              <w:rPr>
                <w:rFonts w:hint="eastAsia" w:ascii="等线" w:hAnsi="等线" w:eastAsia="等线" w:cs="等线"/>
                <w:sz w:val="19"/>
                <w:szCs w:val="19"/>
              </w:rPr>
              <w:t>20</w:t>
            </w:r>
          </w:p>
        </w:tc>
        <w:tc>
          <w:tcPr>
            <w:tcW w:w="21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5"/>
              <w:widowControl/>
              <w:spacing w:line="360" w:lineRule="auto"/>
              <w:jc w:val="center"/>
              <w:rPr>
                <w:rFonts w:ascii="等线" w:hAnsi="等线" w:eastAsia="等线" w:cs="等线"/>
                <w:sz w:val="19"/>
                <w:szCs w:val="19"/>
              </w:rPr>
            </w:pPr>
            <w:r>
              <w:rPr>
                <w:rFonts w:hint="eastAsia" w:ascii="等线" w:hAnsi="等线" w:eastAsia="等线" w:cs="等线"/>
                <w:sz w:val="19"/>
                <w:szCs w:val="19"/>
              </w:rPr>
              <w:t>5</w:t>
            </w:r>
          </w:p>
        </w:tc>
        <w:tc>
          <w:tcPr>
            <w:tcW w:w="2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5"/>
              <w:widowControl/>
              <w:spacing w:line="360" w:lineRule="auto"/>
              <w:jc w:val="center"/>
              <w:rPr>
                <w:rFonts w:ascii="等线" w:hAnsi="等线" w:eastAsia="等线" w:cs="等线"/>
                <w:sz w:val="19"/>
                <w:szCs w:val="19"/>
              </w:rPr>
            </w:pPr>
            <w:r>
              <w:rPr>
                <w:rFonts w:hint="eastAsia" w:ascii="等线" w:hAnsi="等线" w:eastAsia="等线" w:cs="等线"/>
                <w:sz w:val="19"/>
                <w:szCs w:val="19"/>
              </w:rPr>
              <w:t>30</w:t>
            </w:r>
          </w:p>
        </w:tc>
      </w:tr>
      <w:tr>
        <w:tblPrEx>
          <w:tblLayout w:type="fixed"/>
          <w:tblCellMar>
            <w:top w:w="0" w:type="dxa"/>
            <w:left w:w="0" w:type="dxa"/>
            <w:bottom w:w="0" w:type="dxa"/>
            <w:right w:w="0" w:type="dxa"/>
          </w:tblCellMar>
        </w:tblPrEx>
        <w:trPr>
          <w:trHeight w:val="285" w:hRule="atLeast"/>
        </w:trPr>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5"/>
              <w:widowControl/>
              <w:spacing w:line="360" w:lineRule="auto"/>
              <w:jc w:val="center"/>
              <w:rPr>
                <w:rFonts w:ascii="等线" w:hAnsi="等线" w:eastAsia="等线" w:cs="等线"/>
                <w:sz w:val="19"/>
                <w:szCs w:val="19"/>
              </w:rPr>
            </w:pPr>
            <w:r>
              <w:rPr>
                <w:rFonts w:hint="eastAsia" w:ascii="等线" w:hAnsi="等线" w:eastAsia="等线" w:cs="等线"/>
                <w:sz w:val="19"/>
                <w:szCs w:val="19"/>
              </w:rPr>
              <w:t>电气自动化技术</w:t>
            </w:r>
          </w:p>
        </w:tc>
        <w:tc>
          <w:tcPr>
            <w:tcW w:w="18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5"/>
              <w:widowControl/>
              <w:spacing w:line="360" w:lineRule="auto"/>
              <w:jc w:val="center"/>
              <w:rPr>
                <w:rFonts w:ascii="等线" w:hAnsi="等线" w:eastAsia="等线" w:cs="等线"/>
                <w:sz w:val="19"/>
                <w:szCs w:val="19"/>
              </w:rPr>
            </w:pPr>
            <w:r>
              <w:rPr>
                <w:rFonts w:hint="eastAsia" w:ascii="等线" w:hAnsi="等线" w:eastAsia="等线" w:cs="等线"/>
                <w:sz w:val="19"/>
                <w:szCs w:val="19"/>
              </w:rPr>
              <w:t>10</w:t>
            </w:r>
          </w:p>
        </w:tc>
        <w:tc>
          <w:tcPr>
            <w:tcW w:w="21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5"/>
              <w:widowControl/>
              <w:spacing w:line="360" w:lineRule="auto"/>
              <w:jc w:val="center"/>
              <w:rPr>
                <w:rFonts w:ascii="等线" w:hAnsi="等线" w:eastAsia="等线" w:cs="等线"/>
                <w:sz w:val="19"/>
                <w:szCs w:val="19"/>
              </w:rPr>
            </w:pPr>
            <w:r>
              <w:rPr>
                <w:rFonts w:hint="eastAsia" w:ascii="等线" w:hAnsi="等线" w:eastAsia="等线" w:cs="等线"/>
                <w:sz w:val="19"/>
                <w:szCs w:val="19"/>
              </w:rPr>
              <w:t>5</w:t>
            </w:r>
          </w:p>
        </w:tc>
        <w:tc>
          <w:tcPr>
            <w:tcW w:w="2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5"/>
              <w:widowControl/>
              <w:spacing w:line="360" w:lineRule="auto"/>
              <w:jc w:val="center"/>
              <w:rPr>
                <w:rFonts w:ascii="等线" w:hAnsi="等线" w:eastAsia="等线" w:cs="等线"/>
                <w:sz w:val="19"/>
                <w:szCs w:val="19"/>
              </w:rPr>
            </w:pPr>
            <w:r>
              <w:rPr>
                <w:rFonts w:hint="eastAsia" w:ascii="等线" w:hAnsi="等线" w:eastAsia="等线" w:cs="等线"/>
                <w:sz w:val="19"/>
                <w:szCs w:val="19"/>
              </w:rPr>
              <w:t>30</w:t>
            </w:r>
          </w:p>
        </w:tc>
      </w:tr>
      <w:tr>
        <w:tblPrEx>
          <w:tblLayout w:type="fixed"/>
          <w:tblCellMar>
            <w:top w:w="0" w:type="dxa"/>
            <w:left w:w="0" w:type="dxa"/>
            <w:bottom w:w="0" w:type="dxa"/>
            <w:right w:w="0" w:type="dxa"/>
          </w:tblCellMar>
        </w:tblPrEx>
        <w:trPr>
          <w:trHeight w:val="285" w:hRule="atLeast"/>
        </w:trPr>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5"/>
              <w:widowControl/>
              <w:spacing w:line="360" w:lineRule="auto"/>
              <w:jc w:val="center"/>
              <w:rPr>
                <w:rFonts w:ascii="等线" w:hAnsi="等线" w:eastAsia="等线" w:cs="等线"/>
                <w:sz w:val="19"/>
                <w:szCs w:val="19"/>
              </w:rPr>
            </w:pPr>
            <w:r>
              <w:rPr>
                <w:rFonts w:hint="eastAsia" w:ascii="等线" w:hAnsi="等线" w:eastAsia="等线" w:cs="等线"/>
                <w:sz w:val="19"/>
                <w:szCs w:val="19"/>
              </w:rPr>
              <w:t>船舶电子电气技术</w:t>
            </w:r>
          </w:p>
        </w:tc>
        <w:tc>
          <w:tcPr>
            <w:tcW w:w="18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5"/>
              <w:widowControl/>
              <w:spacing w:line="360" w:lineRule="auto"/>
              <w:jc w:val="center"/>
              <w:rPr>
                <w:rFonts w:ascii="等线" w:hAnsi="等线" w:eastAsia="等线" w:cs="等线"/>
                <w:sz w:val="19"/>
                <w:szCs w:val="19"/>
              </w:rPr>
            </w:pPr>
            <w:r>
              <w:rPr>
                <w:rFonts w:hint="eastAsia" w:ascii="等线" w:hAnsi="等线" w:eastAsia="等线" w:cs="等线"/>
                <w:sz w:val="19"/>
                <w:szCs w:val="19"/>
              </w:rPr>
              <w:t>10</w:t>
            </w:r>
          </w:p>
        </w:tc>
        <w:tc>
          <w:tcPr>
            <w:tcW w:w="21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5"/>
              <w:widowControl/>
              <w:spacing w:line="360" w:lineRule="auto"/>
              <w:jc w:val="center"/>
              <w:rPr>
                <w:rFonts w:ascii="等线" w:hAnsi="等线" w:eastAsia="等线" w:cs="等线"/>
                <w:sz w:val="19"/>
                <w:szCs w:val="19"/>
              </w:rPr>
            </w:pPr>
            <w:r>
              <w:rPr>
                <w:rFonts w:hint="eastAsia" w:ascii="等线" w:hAnsi="等线" w:eastAsia="等线" w:cs="等线"/>
                <w:sz w:val="19"/>
                <w:szCs w:val="19"/>
              </w:rPr>
              <w:t>5</w:t>
            </w:r>
          </w:p>
        </w:tc>
        <w:tc>
          <w:tcPr>
            <w:tcW w:w="2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5"/>
              <w:widowControl/>
              <w:spacing w:line="360" w:lineRule="auto"/>
              <w:jc w:val="center"/>
              <w:rPr>
                <w:rFonts w:ascii="等线" w:hAnsi="等线" w:eastAsia="等线" w:cs="等线"/>
                <w:sz w:val="19"/>
                <w:szCs w:val="19"/>
              </w:rPr>
            </w:pPr>
            <w:r>
              <w:rPr>
                <w:rFonts w:hint="eastAsia" w:ascii="等线" w:hAnsi="等线" w:eastAsia="等线" w:cs="等线"/>
                <w:sz w:val="19"/>
                <w:szCs w:val="19"/>
              </w:rPr>
              <w:t>30</w:t>
            </w:r>
          </w:p>
        </w:tc>
      </w:tr>
      <w:tr>
        <w:tblPrEx>
          <w:tblLayout w:type="fixed"/>
          <w:tblCellMar>
            <w:top w:w="0" w:type="dxa"/>
            <w:left w:w="0" w:type="dxa"/>
            <w:bottom w:w="0" w:type="dxa"/>
            <w:right w:w="0" w:type="dxa"/>
          </w:tblCellMar>
        </w:tblPrEx>
        <w:trPr>
          <w:trHeight w:val="285" w:hRule="atLeast"/>
        </w:trPr>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5"/>
              <w:widowControl/>
              <w:spacing w:line="360" w:lineRule="auto"/>
              <w:jc w:val="center"/>
              <w:rPr>
                <w:rFonts w:ascii="等线" w:hAnsi="等线" w:eastAsia="等线" w:cs="等线"/>
                <w:sz w:val="19"/>
                <w:szCs w:val="19"/>
              </w:rPr>
            </w:pPr>
            <w:r>
              <w:rPr>
                <w:rFonts w:hint="eastAsia" w:ascii="等线" w:hAnsi="等线" w:eastAsia="等线" w:cs="等线"/>
                <w:sz w:val="19"/>
                <w:szCs w:val="19"/>
              </w:rPr>
              <w:t>机电一体化技术</w:t>
            </w:r>
          </w:p>
        </w:tc>
        <w:tc>
          <w:tcPr>
            <w:tcW w:w="18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5"/>
              <w:widowControl/>
              <w:spacing w:line="360" w:lineRule="auto"/>
              <w:jc w:val="center"/>
              <w:rPr>
                <w:rFonts w:ascii="等线" w:hAnsi="等线" w:eastAsia="等线" w:cs="等线"/>
                <w:sz w:val="19"/>
                <w:szCs w:val="19"/>
              </w:rPr>
            </w:pPr>
            <w:r>
              <w:rPr>
                <w:rFonts w:hint="eastAsia" w:ascii="等线" w:hAnsi="等线" w:eastAsia="等线" w:cs="等线"/>
                <w:sz w:val="19"/>
                <w:szCs w:val="19"/>
              </w:rPr>
              <w:t>20</w:t>
            </w:r>
          </w:p>
        </w:tc>
        <w:tc>
          <w:tcPr>
            <w:tcW w:w="21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5"/>
              <w:widowControl/>
              <w:spacing w:line="360" w:lineRule="auto"/>
              <w:jc w:val="center"/>
              <w:rPr>
                <w:rFonts w:ascii="等线" w:hAnsi="等线" w:eastAsia="等线" w:cs="等线"/>
                <w:sz w:val="19"/>
                <w:szCs w:val="19"/>
              </w:rPr>
            </w:pPr>
            <w:r>
              <w:rPr>
                <w:rFonts w:hint="eastAsia" w:ascii="等线" w:hAnsi="等线" w:eastAsia="等线" w:cs="等线"/>
                <w:sz w:val="19"/>
                <w:szCs w:val="19"/>
              </w:rPr>
              <w:t>5</w:t>
            </w:r>
          </w:p>
        </w:tc>
        <w:tc>
          <w:tcPr>
            <w:tcW w:w="2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5"/>
              <w:widowControl/>
              <w:spacing w:line="360" w:lineRule="auto"/>
              <w:jc w:val="center"/>
              <w:rPr>
                <w:rFonts w:ascii="等线" w:hAnsi="等线" w:eastAsia="等线" w:cs="等线"/>
                <w:sz w:val="19"/>
                <w:szCs w:val="19"/>
              </w:rPr>
            </w:pPr>
            <w:r>
              <w:rPr>
                <w:rFonts w:hint="eastAsia" w:ascii="等线" w:hAnsi="等线" w:eastAsia="等线" w:cs="等线"/>
                <w:sz w:val="19"/>
                <w:szCs w:val="19"/>
              </w:rPr>
              <w:t>50</w:t>
            </w:r>
          </w:p>
        </w:tc>
      </w:tr>
      <w:tr>
        <w:tblPrEx>
          <w:tblLayout w:type="fixed"/>
          <w:tblCellMar>
            <w:top w:w="0" w:type="dxa"/>
            <w:left w:w="0" w:type="dxa"/>
            <w:bottom w:w="0" w:type="dxa"/>
            <w:right w:w="0" w:type="dxa"/>
          </w:tblCellMar>
        </w:tblPrEx>
        <w:trPr>
          <w:trHeight w:val="285" w:hRule="atLeast"/>
        </w:trPr>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5"/>
              <w:widowControl/>
              <w:spacing w:line="360" w:lineRule="auto"/>
              <w:jc w:val="center"/>
              <w:rPr>
                <w:rFonts w:ascii="等线" w:hAnsi="等线" w:eastAsia="等线" w:cs="等线"/>
                <w:sz w:val="19"/>
                <w:szCs w:val="19"/>
              </w:rPr>
            </w:pPr>
            <w:r>
              <w:rPr>
                <w:rFonts w:hint="eastAsia" w:ascii="等线" w:hAnsi="等线" w:eastAsia="等线" w:cs="等线"/>
                <w:sz w:val="19"/>
                <w:szCs w:val="19"/>
              </w:rPr>
              <w:t>工业机器人技术</w:t>
            </w:r>
          </w:p>
        </w:tc>
        <w:tc>
          <w:tcPr>
            <w:tcW w:w="18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5"/>
              <w:widowControl/>
              <w:spacing w:line="360" w:lineRule="auto"/>
              <w:jc w:val="center"/>
              <w:rPr>
                <w:rFonts w:ascii="等线" w:hAnsi="等线" w:eastAsia="等线" w:cs="等线"/>
                <w:sz w:val="19"/>
                <w:szCs w:val="19"/>
              </w:rPr>
            </w:pPr>
            <w:r>
              <w:rPr>
                <w:rFonts w:hint="eastAsia" w:ascii="等线" w:hAnsi="等线" w:eastAsia="等线" w:cs="等线"/>
                <w:sz w:val="19"/>
                <w:szCs w:val="19"/>
              </w:rPr>
              <w:t>10</w:t>
            </w:r>
          </w:p>
        </w:tc>
        <w:tc>
          <w:tcPr>
            <w:tcW w:w="21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5"/>
              <w:widowControl/>
              <w:spacing w:line="360" w:lineRule="auto"/>
              <w:jc w:val="center"/>
              <w:rPr>
                <w:rFonts w:ascii="等线" w:hAnsi="等线" w:eastAsia="等线" w:cs="等线"/>
                <w:sz w:val="19"/>
                <w:szCs w:val="19"/>
              </w:rPr>
            </w:pPr>
            <w:r>
              <w:rPr>
                <w:rFonts w:hint="eastAsia" w:ascii="等线" w:hAnsi="等线" w:eastAsia="等线" w:cs="等线"/>
                <w:sz w:val="19"/>
                <w:szCs w:val="19"/>
              </w:rPr>
              <w:t>0</w:t>
            </w:r>
          </w:p>
        </w:tc>
        <w:tc>
          <w:tcPr>
            <w:tcW w:w="2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5"/>
              <w:widowControl/>
              <w:spacing w:line="360" w:lineRule="auto"/>
              <w:jc w:val="center"/>
              <w:rPr>
                <w:rFonts w:ascii="等线" w:hAnsi="等线" w:eastAsia="等线" w:cs="等线"/>
                <w:sz w:val="19"/>
                <w:szCs w:val="19"/>
              </w:rPr>
            </w:pPr>
            <w:r>
              <w:rPr>
                <w:rFonts w:hint="eastAsia" w:ascii="等线" w:hAnsi="等线" w:eastAsia="等线" w:cs="等线"/>
                <w:sz w:val="19"/>
                <w:szCs w:val="19"/>
              </w:rPr>
              <w:t>0</w:t>
            </w:r>
          </w:p>
        </w:tc>
      </w:tr>
      <w:tr>
        <w:tblPrEx>
          <w:tblLayout w:type="fixed"/>
          <w:tblCellMar>
            <w:top w:w="0" w:type="dxa"/>
            <w:left w:w="0" w:type="dxa"/>
            <w:bottom w:w="0" w:type="dxa"/>
            <w:right w:w="0" w:type="dxa"/>
          </w:tblCellMar>
        </w:tblPrEx>
        <w:trPr>
          <w:trHeight w:val="285" w:hRule="atLeast"/>
        </w:trPr>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5"/>
              <w:widowControl/>
              <w:spacing w:line="360" w:lineRule="auto"/>
              <w:jc w:val="center"/>
              <w:rPr>
                <w:rFonts w:ascii="等线" w:hAnsi="等线" w:eastAsia="等线" w:cs="等线"/>
                <w:sz w:val="19"/>
                <w:szCs w:val="19"/>
              </w:rPr>
            </w:pPr>
            <w:r>
              <w:rPr>
                <w:rFonts w:hint="eastAsia" w:ascii="等线" w:hAnsi="等线" w:eastAsia="等线" w:cs="等线"/>
                <w:sz w:val="19"/>
                <w:szCs w:val="19"/>
              </w:rPr>
              <w:t>无人机应用技术</w:t>
            </w:r>
          </w:p>
        </w:tc>
        <w:tc>
          <w:tcPr>
            <w:tcW w:w="18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5"/>
              <w:widowControl/>
              <w:spacing w:line="360" w:lineRule="auto"/>
              <w:jc w:val="center"/>
              <w:rPr>
                <w:rFonts w:ascii="等线" w:hAnsi="等线" w:eastAsia="等线" w:cs="等线"/>
                <w:sz w:val="19"/>
                <w:szCs w:val="19"/>
              </w:rPr>
            </w:pPr>
            <w:r>
              <w:rPr>
                <w:rFonts w:hint="eastAsia" w:ascii="等线" w:hAnsi="等线" w:eastAsia="等线" w:cs="等线"/>
                <w:sz w:val="19"/>
                <w:szCs w:val="19"/>
              </w:rPr>
              <w:t>10</w:t>
            </w:r>
          </w:p>
        </w:tc>
        <w:tc>
          <w:tcPr>
            <w:tcW w:w="21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5"/>
              <w:widowControl/>
              <w:spacing w:line="360" w:lineRule="auto"/>
              <w:jc w:val="center"/>
              <w:rPr>
                <w:rFonts w:ascii="等线" w:hAnsi="等线" w:eastAsia="等线" w:cs="等线"/>
                <w:sz w:val="19"/>
                <w:szCs w:val="19"/>
              </w:rPr>
            </w:pPr>
            <w:r>
              <w:rPr>
                <w:rFonts w:hint="eastAsia" w:ascii="等线" w:hAnsi="等线" w:eastAsia="等线" w:cs="等线"/>
                <w:sz w:val="19"/>
                <w:szCs w:val="19"/>
              </w:rPr>
              <w:t>0</w:t>
            </w:r>
          </w:p>
        </w:tc>
        <w:tc>
          <w:tcPr>
            <w:tcW w:w="2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5"/>
              <w:widowControl/>
              <w:spacing w:line="360" w:lineRule="auto"/>
              <w:jc w:val="center"/>
              <w:rPr>
                <w:rFonts w:ascii="等线" w:hAnsi="等线" w:eastAsia="等线" w:cs="等线"/>
                <w:sz w:val="19"/>
                <w:szCs w:val="19"/>
              </w:rPr>
            </w:pPr>
            <w:r>
              <w:rPr>
                <w:rFonts w:hint="eastAsia" w:ascii="等线" w:hAnsi="等线" w:eastAsia="等线" w:cs="等线"/>
                <w:sz w:val="19"/>
                <w:szCs w:val="19"/>
              </w:rPr>
              <w:t>10</w:t>
            </w:r>
          </w:p>
        </w:tc>
      </w:tr>
      <w:tr>
        <w:tblPrEx>
          <w:tblLayout w:type="fixed"/>
          <w:tblCellMar>
            <w:top w:w="0" w:type="dxa"/>
            <w:left w:w="0" w:type="dxa"/>
            <w:bottom w:w="0" w:type="dxa"/>
            <w:right w:w="0" w:type="dxa"/>
          </w:tblCellMar>
        </w:tblPrEx>
        <w:trPr>
          <w:trHeight w:val="285" w:hRule="atLeast"/>
        </w:trPr>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5"/>
              <w:widowControl/>
              <w:spacing w:line="360" w:lineRule="auto"/>
              <w:jc w:val="center"/>
              <w:rPr>
                <w:rFonts w:ascii="等线" w:hAnsi="等线" w:eastAsia="等线" w:cs="等线"/>
                <w:sz w:val="19"/>
                <w:szCs w:val="19"/>
              </w:rPr>
            </w:pPr>
            <w:r>
              <w:rPr>
                <w:rFonts w:hint="eastAsia" w:ascii="等线" w:hAnsi="等线" w:eastAsia="等线" w:cs="等线"/>
                <w:sz w:val="19"/>
                <w:szCs w:val="19"/>
              </w:rPr>
              <w:t>飞机机电设备维修</w:t>
            </w:r>
          </w:p>
        </w:tc>
        <w:tc>
          <w:tcPr>
            <w:tcW w:w="18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5"/>
              <w:widowControl/>
              <w:spacing w:line="360" w:lineRule="auto"/>
              <w:jc w:val="center"/>
              <w:rPr>
                <w:rFonts w:ascii="等线" w:hAnsi="等线" w:eastAsia="等线" w:cs="等线"/>
                <w:sz w:val="19"/>
                <w:szCs w:val="19"/>
              </w:rPr>
            </w:pPr>
            <w:r>
              <w:rPr>
                <w:rFonts w:hint="eastAsia" w:ascii="等线" w:hAnsi="等线" w:eastAsia="等线" w:cs="等线"/>
                <w:sz w:val="19"/>
                <w:szCs w:val="19"/>
              </w:rPr>
              <w:t>10</w:t>
            </w:r>
          </w:p>
        </w:tc>
        <w:tc>
          <w:tcPr>
            <w:tcW w:w="21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5"/>
              <w:widowControl/>
              <w:spacing w:line="360" w:lineRule="auto"/>
              <w:jc w:val="center"/>
              <w:rPr>
                <w:rFonts w:ascii="等线" w:hAnsi="等线" w:eastAsia="等线" w:cs="等线"/>
                <w:sz w:val="19"/>
                <w:szCs w:val="19"/>
              </w:rPr>
            </w:pPr>
            <w:r>
              <w:rPr>
                <w:rFonts w:hint="eastAsia" w:ascii="等线" w:hAnsi="等线" w:eastAsia="等线" w:cs="等线"/>
                <w:sz w:val="19"/>
                <w:szCs w:val="19"/>
              </w:rPr>
              <w:t>0</w:t>
            </w:r>
          </w:p>
        </w:tc>
        <w:tc>
          <w:tcPr>
            <w:tcW w:w="2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5"/>
              <w:widowControl/>
              <w:spacing w:line="360" w:lineRule="auto"/>
              <w:jc w:val="center"/>
              <w:rPr>
                <w:rFonts w:ascii="等线" w:hAnsi="等线" w:eastAsia="等线" w:cs="等线"/>
                <w:sz w:val="19"/>
                <w:szCs w:val="19"/>
              </w:rPr>
            </w:pPr>
            <w:r>
              <w:rPr>
                <w:rFonts w:hint="eastAsia" w:ascii="等线" w:hAnsi="等线" w:eastAsia="等线" w:cs="等线"/>
                <w:sz w:val="19"/>
                <w:szCs w:val="19"/>
              </w:rPr>
              <w:t>10</w:t>
            </w:r>
          </w:p>
        </w:tc>
      </w:tr>
      <w:tr>
        <w:tblPrEx>
          <w:tblLayout w:type="fixed"/>
          <w:tblCellMar>
            <w:top w:w="0" w:type="dxa"/>
            <w:left w:w="0" w:type="dxa"/>
            <w:bottom w:w="0" w:type="dxa"/>
            <w:right w:w="0" w:type="dxa"/>
          </w:tblCellMar>
        </w:tblPrEx>
        <w:trPr>
          <w:trHeight w:val="285" w:hRule="atLeast"/>
        </w:trPr>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5"/>
              <w:widowControl/>
              <w:spacing w:line="360" w:lineRule="auto"/>
              <w:jc w:val="center"/>
              <w:rPr>
                <w:rFonts w:ascii="等线" w:hAnsi="等线" w:eastAsia="等线" w:cs="等线"/>
                <w:sz w:val="19"/>
                <w:szCs w:val="19"/>
              </w:rPr>
            </w:pPr>
            <w:r>
              <w:rPr>
                <w:rFonts w:hint="eastAsia" w:ascii="等线" w:hAnsi="等线" w:eastAsia="等线" w:cs="等线"/>
                <w:sz w:val="19"/>
                <w:szCs w:val="19"/>
              </w:rPr>
              <w:t>港口机械与自动控制</w:t>
            </w:r>
          </w:p>
        </w:tc>
        <w:tc>
          <w:tcPr>
            <w:tcW w:w="18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5"/>
              <w:widowControl/>
              <w:spacing w:line="360" w:lineRule="auto"/>
              <w:jc w:val="center"/>
              <w:rPr>
                <w:rFonts w:ascii="等线" w:hAnsi="等线" w:eastAsia="等线" w:cs="等线"/>
                <w:sz w:val="19"/>
                <w:szCs w:val="19"/>
              </w:rPr>
            </w:pPr>
            <w:r>
              <w:rPr>
                <w:rFonts w:hint="eastAsia" w:ascii="等线" w:hAnsi="等线" w:eastAsia="等线" w:cs="等线"/>
                <w:sz w:val="19"/>
                <w:szCs w:val="19"/>
              </w:rPr>
              <w:t>10</w:t>
            </w:r>
          </w:p>
        </w:tc>
        <w:tc>
          <w:tcPr>
            <w:tcW w:w="21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5"/>
              <w:widowControl/>
              <w:spacing w:line="360" w:lineRule="auto"/>
              <w:jc w:val="center"/>
              <w:rPr>
                <w:rFonts w:ascii="等线" w:hAnsi="等线" w:eastAsia="等线" w:cs="等线"/>
                <w:sz w:val="19"/>
                <w:szCs w:val="19"/>
              </w:rPr>
            </w:pPr>
            <w:r>
              <w:rPr>
                <w:rFonts w:hint="eastAsia" w:ascii="等线" w:hAnsi="等线" w:eastAsia="等线" w:cs="等线"/>
                <w:sz w:val="19"/>
                <w:szCs w:val="19"/>
              </w:rPr>
              <w:t>5</w:t>
            </w:r>
          </w:p>
        </w:tc>
        <w:tc>
          <w:tcPr>
            <w:tcW w:w="2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5"/>
              <w:widowControl/>
              <w:spacing w:line="360" w:lineRule="auto"/>
              <w:jc w:val="center"/>
              <w:rPr>
                <w:rFonts w:ascii="等线" w:hAnsi="等线" w:eastAsia="等线" w:cs="等线"/>
                <w:sz w:val="19"/>
                <w:szCs w:val="19"/>
              </w:rPr>
            </w:pPr>
            <w:r>
              <w:rPr>
                <w:rFonts w:hint="eastAsia" w:ascii="等线" w:hAnsi="等线" w:eastAsia="等线" w:cs="等线"/>
                <w:sz w:val="19"/>
                <w:szCs w:val="19"/>
              </w:rPr>
              <w:t>20</w:t>
            </w:r>
          </w:p>
        </w:tc>
      </w:tr>
      <w:tr>
        <w:tblPrEx>
          <w:tblLayout w:type="fixed"/>
          <w:tblCellMar>
            <w:top w:w="0" w:type="dxa"/>
            <w:left w:w="0" w:type="dxa"/>
            <w:bottom w:w="0" w:type="dxa"/>
            <w:right w:w="0" w:type="dxa"/>
          </w:tblCellMar>
        </w:tblPrEx>
        <w:trPr>
          <w:trHeight w:val="285" w:hRule="atLeast"/>
        </w:trPr>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5"/>
              <w:widowControl/>
              <w:spacing w:line="360" w:lineRule="auto"/>
              <w:jc w:val="center"/>
              <w:rPr>
                <w:rFonts w:ascii="等线" w:hAnsi="等线" w:eastAsia="等线" w:cs="等线"/>
                <w:sz w:val="19"/>
                <w:szCs w:val="19"/>
              </w:rPr>
            </w:pPr>
            <w:r>
              <w:rPr>
                <w:rFonts w:hint="eastAsia" w:ascii="等线" w:hAnsi="等线" w:eastAsia="等线" w:cs="等线"/>
                <w:sz w:val="19"/>
                <w:szCs w:val="19"/>
              </w:rPr>
              <w:t>旅游管理</w:t>
            </w:r>
          </w:p>
        </w:tc>
        <w:tc>
          <w:tcPr>
            <w:tcW w:w="18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5"/>
              <w:widowControl/>
              <w:spacing w:line="360" w:lineRule="auto"/>
              <w:jc w:val="center"/>
              <w:rPr>
                <w:rFonts w:ascii="等线" w:hAnsi="等线" w:eastAsia="等线" w:cs="等线"/>
                <w:sz w:val="19"/>
                <w:szCs w:val="19"/>
              </w:rPr>
            </w:pPr>
            <w:r>
              <w:rPr>
                <w:rFonts w:hint="eastAsia" w:ascii="等线" w:hAnsi="等线" w:eastAsia="等线" w:cs="等线"/>
                <w:sz w:val="19"/>
                <w:szCs w:val="19"/>
              </w:rPr>
              <w:t>10</w:t>
            </w:r>
          </w:p>
        </w:tc>
        <w:tc>
          <w:tcPr>
            <w:tcW w:w="21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5"/>
              <w:widowControl/>
              <w:spacing w:line="360" w:lineRule="auto"/>
              <w:jc w:val="center"/>
              <w:rPr>
                <w:rFonts w:ascii="等线" w:hAnsi="等线" w:eastAsia="等线" w:cs="等线"/>
                <w:sz w:val="19"/>
                <w:szCs w:val="19"/>
              </w:rPr>
            </w:pPr>
            <w:r>
              <w:rPr>
                <w:rFonts w:hint="eastAsia" w:ascii="等线" w:hAnsi="等线" w:eastAsia="等线" w:cs="等线"/>
                <w:sz w:val="19"/>
                <w:szCs w:val="19"/>
              </w:rPr>
              <w:t>0</w:t>
            </w:r>
          </w:p>
        </w:tc>
        <w:tc>
          <w:tcPr>
            <w:tcW w:w="2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5"/>
              <w:widowControl/>
              <w:spacing w:line="360" w:lineRule="auto"/>
              <w:jc w:val="center"/>
              <w:rPr>
                <w:rFonts w:ascii="等线" w:hAnsi="等线" w:eastAsia="等线" w:cs="等线"/>
                <w:sz w:val="19"/>
                <w:szCs w:val="19"/>
              </w:rPr>
            </w:pPr>
            <w:r>
              <w:rPr>
                <w:rFonts w:hint="eastAsia" w:ascii="等线" w:hAnsi="等线" w:eastAsia="等线" w:cs="等线"/>
                <w:sz w:val="19"/>
                <w:szCs w:val="19"/>
              </w:rPr>
              <w:t>30</w:t>
            </w:r>
          </w:p>
        </w:tc>
      </w:tr>
      <w:tr>
        <w:tblPrEx>
          <w:tblLayout w:type="fixed"/>
          <w:tblCellMar>
            <w:top w:w="0" w:type="dxa"/>
            <w:left w:w="0" w:type="dxa"/>
            <w:bottom w:w="0" w:type="dxa"/>
            <w:right w:w="0" w:type="dxa"/>
          </w:tblCellMar>
        </w:tblPrEx>
        <w:trPr>
          <w:trHeight w:val="285" w:hRule="atLeast"/>
        </w:trPr>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5"/>
              <w:widowControl/>
              <w:spacing w:line="360" w:lineRule="auto"/>
              <w:jc w:val="center"/>
              <w:rPr>
                <w:rFonts w:ascii="等线" w:hAnsi="等线" w:eastAsia="等线" w:cs="等线"/>
                <w:sz w:val="19"/>
                <w:szCs w:val="19"/>
              </w:rPr>
            </w:pPr>
            <w:r>
              <w:rPr>
                <w:rFonts w:hint="eastAsia" w:ascii="等线" w:hAnsi="等线" w:eastAsia="等线" w:cs="等线"/>
                <w:sz w:val="19"/>
                <w:szCs w:val="19"/>
              </w:rPr>
              <w:t>国际邮轮乘务管理</w:t>
            </w:r>
          </w:p>
        </w:tc>
        <w:tc>
          <w:tcPr>
            <w:tcW w:w="18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5"/>
              <w:widowControl/>
              <w:spacing w:line="360" w:lineRule="auto"/>
              <w:jc w:val="center"/>
              <w:rPr>
                <w:rFonts w:ascii="等线" w:hAnsi="等线" w:eastAsia="等线" w:cs="等线"/>
                <w:sz w:val="19"/>
                <w:szCs w:val="19"/>
              </w:rPr>
            </w:pPr>
            <w:r>
              <w:rPr>
                <w:rFonts w:hint="eastAsia" w:ascii="等线" w:hAnsi="等线" w:eastAsia="等线" w:cs="等线"/>
                <w:sz w:val="19"/>
                <w:szCs w:val="19"/>
              </w:rPr>
              <w:t>10</w:t>
            </w:r>
          </w:p>
        </w:tc>
        <w:tc>
          <w:tcPr>
            <w:tcW w:w="21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5"/>
              <w:widowControl/>
              <w:spacing w:line="360" w:lineRule="auto"/>
              <w:jc w:val="center"/>
              <w:rPr>
                <w:rFonts w:ascii="等线" w:hAnsi="等线" w:eastAsia="等线" w:cs="等线"/>
                <w:sz w:val="19"/>
                <w:szCs w:val="19"/>
              </w:rPr>
            </w:pPr>
            <w:r>
              <w:rPr>
                <w:rFonts w:hint="eastAsia" w:ascii="等线" w:hAnsi="等线" w:eastAsia="等线" w:cs="等线"/>
                <w:sz w:val="19"/>
                <w:szCs w:val="19"/>
              </w:rPr>
              <w:t>0</w:t>
            </w:r>
          </w:p>
        </w:tc>
        <w:tc>
          <w:tcPr>
            <w:tcW w:w="2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5"/>
              <w:widowControl/>
              <w:spacing w:line="360" w:lineRule="auto"/>
              <w:jc w:val="center"/>
              <w:rPr>
                <w:rFonts w:ascii="等线" w:hAnsi="等线" w:eastAsia="等线" w:cs="等线"/>
                <w:sz w:val="19"/>
                <w:szCs w:val="19"/>
              </w:rPr>
            </w:pPr>
            <w:r>
              <w:rPr>
                <w:rFonts w:hint="eastAsia" w:ascii="等线" w:hAnsi="等线" w:eastAsia="等线" w:cs="等线"/>
                <w:sz w:val="19"/>
                <w:szCs w:val="19"/>
              </w:rPr>
              <w:t>0</w:t>
            </w:r>
          </w:p>
        </w:tc>
      </w:tr>
      <w:tr>
        <w:tblPrEx>
          <w:tblLayout w:type="fixed"/>
          <w:tblCellMar>
            <w:top w:w="0" w:type="dxa"/>
            <w:left w:w="0" w:type="dxa"/>
            <w:bottom w:w="0" w:type="dxa"/>
            <w:right w:w="0" w:type="dxa"/>
          </w:tblCellMar>
        </w:tblPrEx>
        <w:trPr>
          <w:trHeight w:val="285" w:hRule="atLeast"/>
        </w:trPr>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5"/>
              <w:widowControl/>
              <w:spacing w:line="360" w:lineRule="auto"/>
              <w:jc w:val="center"/>
              <w:rPr>
                <w:rFonts w:ascii="等线" w:hAnsi="等线" w:eastAsia="等线" w:cs="等线"/>
                <w:sz w:val="19"/>
                <w:szCs w:val="19"/>
              </w:rPr>
            </w:pPr>
            <w:r>
              <w:rPr>
                <w:rFonts w:hint="eastAsia" w:ascii="等线" w:hAnsi="等线" w:eastAsia="等线" w:cs="等线"/>
                <w:sz w:val="19"/>
                <w:szCs w:val="19"/>
              </w:rPr>
              <w:t>酒店管理</w:t>
            </w:r>
          </w:p>
        </w:tc>
        <w:tc>
          <w:tcPr>
            <w:tcW w:w="18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5"/>
              <w:widowControl/>
              <w:spacing w:line="360" w:lineRule="auto"/>
              <w:jc w:val="center"/>
              <w:rPr>
                <w:rFonts w:ascii="等线" w:hAnsi="等线" w:eastAsia="等线" w:cs="等线"/>
                <w:sz w:val="19"/>
                <w:szCs w:val="19"/>
              </w:rPr>
            </w:pPr>
            <w:r>
              <w:rPr>
                <w:rFonts w:hint="eastAsia" w:ascii="等线" w:hAnsi="等线" w:eastAsia="等线" w:cs="等线"/>
                <w:sz w:val="19"/>
                <w:szCs w:val="19"/>
              </w:rPr>
              <w:t>10</w:t>
            </w:r>
          </w:p>
        </w:tc>
        <w:tc>
          <w:tcPr>
            <w:tcW w:w="21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5"/>
              <w:widowControl/>
              <w:spacing w:line="360" w:lineRule="auto"/>
              <w:jc w:val="center"/>
              <w:rPr>
                <w:rFonts w:ascii="等线" w:hAnsi="等线" w:eastAsia="等线" w:cs="等线"/>
                <w:sz w:val="19"/>
                <w:szCs w:val="19"/>
              </w:rPr>
            </w:pPr>
            <w:r>
              <w:rPr>
                <w:rFonts w:hint="eastAsia" w:ascii="等线" w:hAnsi="等线" w:eastAsia="等线" w:cs="等线"/>
                <w:sz w:val="19"/>
                <w:szCs w:val="19"/>
              </w:rPr>
              <w:t>0</w:t>
            </w:r>
          </w:p>
        </w:tc>
        <w:tc>
          <w:tcPr>
            <w:tcW w:w="2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5"/>
              <w:widowControl/>
              <w:spacing w:line="360" w:lineRule="auto"/>
              <w:jc w:val="center"/>
              <w:rPr>
                <w:rFonts w:ascii="等线" w:hAnsi="等线" w:eastAsia="等线" w:cs="等线"/>
                <w:sz w:val="19"/>
                <w:szCs w:val="19"/>
              </w:rPr>
            </w:pPr>
            <w:r>
              <w:rPr>
                <w:rFonts w:hint="eastAsia" w:ascii="等线" w:hAnsi="等线" w:eastAsia="等线" w:cs="等线"/>
                <w:sz w:val="19"/>
                <w:szCs w:val="19"/>
              </w:rPr>
              <w:t>20</w:t>
            </w:r>
          </w:p>
        </w:tc>
      </w:tr>
      <w:tr>
        <w:tblPrEx>
          <w:tblLayout w:type="fixed"/>
          <w:tblCellMar>
            <w:top w:w="0" w:type="dxa"/>
            <w:left w:w="0" w:type="dxa"/>
            <w:bottom w:w="0" w:type="dxa"/>
            <w:right w:w="0" w:type="dxa"/>
          </w:tblCellMar>
        </w:tblPrEx>
        <w:trPr>
          <w:trHeight w:val="285" w:hRule="atLeast"/>
        </w:trPr>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5"/>
              <w:widowControl/>
              <w:spacing w:line="360" w:lineRule="auto"/>
              <w:jc w:val="center"/>
              <w:rPr>
                <w:rFonts w:ascii="等线" w:hAnsi="等线" w:eastAsia="等线" w:cs="等线"/>
                <w:sz w:val="19"/>
                <w:szCs w:val="19"/>
              </w:rPr>
            </w:pPr>
            <w:r>
              <w:rPr>
                <w:rFonts w:hint="eastAsia" w:ascii="等线" w:hAnsi="等线" w:eastAsia="等线" w:cs="等线"/>
                <w:sz w:val="19"/>
                <w:szCs w:val="19"/>
              </w:rPr>
              <w:t>空中乘务</w:t>
            </w:r>
          </w:p>
        </w:tc>
        <w:tc>
          <w:tcPr>
            <w:tcW w:w="18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5"/>
              <w:widowControl/>
              <w:spacing w:line="360" w:lineRule="auto"/>
              <w:jc w:val="center"/>
              <w:rPr>
                <w:rFonts w:ascii="等线" w:hAnsi="等线" w:eastAsia="等线" w:cs="等线"/>
                <w:sz w:val="19"/>
                <w:szCs w:val="19"/>
              </w:rPr>
            </w:pPr>
            <w:r>
              <w:rPr>
                <w:rFonts w:hint="eastAsia" w:ascii="等线" w:hAnsi="等线" w:eastAsia="等线" w:cs="等线"/>
                <w:sz w:val="19"/>
                <w:szCs w:val="19"/>
              </w:rPr>
              <w:t>10</w:t>
            </w:r>
          </w:p>
        </w:tc>
        <w:tc>
          <w:tcPr>
            <w:tcW w:w="21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5"/>
              <w:widowControl/>
              <w:spacing w:line="360" w:lineRule="auto"/>
              <w:jc w:val="center"/>
              <w:rPr>
                <w:rFonts w:ascii="等线" w:hAnsi="等线" w:eastAsia="等线" w:cs="等线"/>
                <w:sz w:val="19"/>
                <w:szCs w:val="19"/>
              </w:rPr>
            </w:pPr>
            <w:r>
              <w:rPr>
                <w:rFonts w:hint="eastAsia" w:ascii="等线" w:hAnsi="等线" w:eastAsia="等线" w:cs="等线"/>
                <w:sz w:val="19"/>
                <w:szCs w:val="19"/>
              </w:rPr>
              <w:t>0</w:t>
            </w:r>
          </w:p>
        </w:tc>
        <w:tc>
          <w:tcPr>
            <w:tcW w:w="2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5"/>
              <w:widowControl/>
              <w:spacing w:line="360" w:lineRule="auto"/>
              <w:jc w:val="center"/>
              <w:rPr>
                <w:rFonts w:ascii="等线" w:hAnsi="等线" w:eastAsia="等线" w:cs="等线"/>
                <w:sz w:val="19"/>
                <w:szCs w:val="19"/>
              </w:rPr>
            </w:pPr>
            <w:r>
              <w:rPr>
                <w:rFonts w:hint="eastAsia" w:ascii="等线" w:hAnsi="等线" w:eastAsia="等线" w:cs="等线"/>
                <w:sz w:val="19"/>
                <w:szCs w:val="19"/>
              </w:rPr>
              <w:t>10</w:t>
            </w:r>
          </w:p>
        </w:tc>
      </w:tr>
      <w:tr>
        <w:tblPrEx>
          <w:tblLayout w:type="fixed"/>
          <w:tblCellMar>
            <w:top w:w="0" w:type="dxa"/>
            <w:left w:w="0" w:type="dxa"/>
            <w:bottom w:w="0" w:type="dxa"/>
            <w:right w:w="0" w:type="dxa"/>
          </w:tblCellMar>
        </w:tblPrEx>
        <w:trPr>
          <w:trHeight w:val="285" w:hRule="atLeast"/>
        </w:trPr>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5"/>
              <w:widowControl/>
              <w:spacing w:line="360" w:lineRule="auto"/>
              <w:jc w:val="center"/>
              <w:rPr>
                <w:rFonts w:ascii="等线" w:hAnsi="等线" w:eastAsia="等线" w:cs="等线"/>
                <w:sz w:val="19"/>
                <w:szCs w:val="19"/>
              </w:rPr>
            </w:pPr>
            <w:r>
              <w:rPr>
                <w:rFonts w:hint="eastAsia" w:ascii="等线" w:hAnsi="等线" w:eastAsia="等线" w:cs="等线"/>
                <w:sz w:val="19"/>
                <w:szCs w:val="19"/>
              </w:rPr>
              <w:t>高速铁路客运乘务</w:t>
            </w:r>
          </w:p>
        </w:tc>
        <w:tc>
          <w:tcPr>
            <w:tcW w:w="18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5"/>
              <w:widowControl/>
              <w:spacing w:line="360" w:lineRule="auto"/>
              <w:jc w:val="center"/>
              <w:rPr>
                <w:rFonts w:ascii="等线" w:hAnsi="等线" w:eastAsia="等线" w:cs="等线"/>
                <w:sz w:val="19"/>
                <w:szCs w:val="19"/>
              </w:rPr>
            </w:pPr>
            <w:r>
              <w:rPr>
                <w:rFonts w:hint="eastAsia" w:ascii="等线" w:hAnsi="等线" w:eastAsia="等线" w:cs="等线"/>
                <w:sz w:val="19"/>
                <w:szCs w:val="19"/>
              </w:rPr>
              <w:t>10</w:t>
            </w:r>
          </w:p>
        </w:tc>
        <w:tc>
          <w:tcPr>
            <w:tcW w:w="21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5"/>
              <w:widowControl/>
              <w:spacing w:line="360" w:lineRule="auto"/>
              <w:jc w:val="center"/>
              <w:rPr>
                <w:rFonts w:ascii="等线" w:hAnsi="等线" w:eastAsia="等线" w:cs="等线"/>
                <w:sz w:val="19"/>
                <w:szCs w:val="19"/>
              </w:rPr>
            </w:pPr>
            <w:r>
              <w:rPr>
                <w:rFonts w:hint="eastAsia" w:ascii="等线" w:hAnsi="等线" w:eastAsia="等线" w:cs="等线"/>
                <w:sz w:val="19"/>
                <w:szCs w:val="19"/>
              </w:rPr>
              <w:t>0</w:t>
            </w:r>
          </w:p>
        </w:tc>
        <w:tc>
          <w:tcPr>
            <w:tcW w:w="2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5"/>
              <w:widowControl/>
              <w:spacing w:line="360" w:lineRule="auto"/>
              <w:jc w:val="center"/>
              <w:rPr>
                <w:rFonts w:ascii="等线" w:hAnsi="等线" w:eastAsia="等线" w:cs="等线"/>
                <w:sz w:val="19"/>
                <w:szCs w:val="19"/>
              </w:rPr>
            </w:pPr>
            <w:r>
              <w:rPr>
                <w:rFonts w:hint="eastAsia" w:ascii="等线" w:hAnsi="等线" w:eastAsia="等线" w:cs="等线"/>
                <w:sz w:val="19"/>
                <w:szCs w:val="19"/>
              </w:rPr>
              <w:t>10</w:t>
            </w:r>
          </w:p>
        </w:tc>
      </w:tr>
      <w:tr>
        <w:tblPrEx>
          <w:tblLayout w:type="fixed"/>
          <w:tblCellMar>
            <w:top w:w="0" w:type="dxa"/>
            <w:left w:w="0" w:type="dxa"/>
            <w:bottom w:w="0" w:type="dxa"/>
            <w:right w:w="0" w:type="dxa"/>
          </w:tblCellMar>
        </w:tblPrEx>
        <w:trPr>
          <w:trHeight w:val="285" w:hRule="atLeast"/>
        </w:trPr>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5"/>
              <w:widowControl/>
              <w:spacing w:line="360" w:lineRule="auto"/>
              <w:jc w:val="center"/>
              <w:rPr>
                <w:rFonts w:ascii="等线" w:hAnsi="等线" w:eastAsia="等线" w:cs="等线"/>
                <w:sz w:val="19"/>
                <w:szCs w:val="19"/>
              </w:rPr>
            </w:pPr>
            <w:r>
              <w:rPr>
                <w:rFonts w:hint="eastAsia" w:ascii="等线" w:hAnsi="等线" w:eastAsia="等线" w:cs="等线"/>
                <w:sz w:val="19"/>
                <w:szCs w:val="19"/>
              </w:rPr>
              <w:t>烹调工艺与营养</w:t>
            </w:r>
          </w:p>
        </w:tc>
        <w:tc>
          <w:tcPr>
            <w:tcW w:w="18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5"/>
              <w:widowControl/>
              <w:spacing w:line="360" w:lineRule="auto"/>
              <w:jc w:val="center"/>
              <w:rPr>
                <w:rFonts w:ascii="等线" w:hAnsi="等线" w:eastAsia="等线" w:cs="等线"/>
                <w:sz w:val="19"/>
                <w:szCs w:val="19"/>
              </w:rPr>
            </w:pPr>
            <w:r>
              <w:rPr>
                <w:rFonts w:hint="eastAsia" w:ascii="等线" w:hAnsi="等线" w:eastAsia="等线" w:cs="等线"/>
                <w:sz w:val="19"/>
                <w:szCs w:val="19"/>
              </w:rPr>
              <w:t>10</w:t>
            </w:r>
          </w:p>
        </w:tc>
        <w:tc>
          <w:tcPr>
            <w:tcW w:w="21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5"/>
              <w:widowControl/>
              <w:spacing w:line="360" w:lineRule="auto"/>
              <w:jc w:val="center"/>
              <w:rPr>
                <w:rFonts w:ascii="等线" w:hAnsi="等线" w:eastAsia="等线" w:cs="等线"/>
                <w:sz w:val="19"/>
                <w:szCs w:val="19"/>
              </w:rPr>
            </w:pPr>
            <w:r>
              <w:rPr>
                <w:rFonts w:hint="eastAsia" w:ascii="等线" w:hAnsi="等线" w:eastAsia="等线" w:cs="等线"/>
                <w:sz w:val="19"/>
                <w:szCs w:val="19"/>
              </w:rPr>
              <w:t>0</w:t>
            </w:r>
          </w:p>
        </w:tc>
        <w:tc>
          <w:tcPr>
            <w:tcW w:w="2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5"/>
              <w:widowControl/>
              <w:spacing w:line="360" w:lineRule="auto"/>
              <w:jc w:val="center"/>
              <w:rPr>
                <w:rFonts w:ascii="等线" w:hAnsi="等线" w:eastAsia="等线" w:cs="等线"/>
                <w:sz w:val="19"/>
                <w:szCs w:val="19"/>
              </w:rPr>
            </w:pPr>
            <w:r>
              <w:rPr>
                <w:rFonts w:hint="eastAsia" w:ascii="等线" w:hAnsi="等线" w:eastAsia="等线" w:cs="等线"/>
                <w:sz w:val="19"/>
                <w:szCs w:val="19"/>
              </w:rPr>
              <w:t>40</w:t>
            </w:r>
          </w:p>
        </w:tc>
      </w:tr>
      <w:tr>
        <w:tblPrEx>
          <w:tblLayout w:type="fixed"/>
          <w:tblCellMar>
            <w:top w:w="0" w:type="dxa"/>
            <w:left w:w="0" w:type="dxa"/>
            <w:bottom w:w="0" w:type="dxa"/>
            <w:right w:w="0" w:type="dxa"/>
          </w:tblCellMar>
        </w:tblPrEx>
        <w:trPr>
          <w:trHeight w:val="285" w:hRule="atLeast"/>
        </w:trPr>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5"/>
              <w:widowControl/>
              <w:spacing w:line="360" w:lineRule="auto"/>
              <w:jc w:val="center"/>
              <w:rPr>
                <w:rFonts w:ascii="等线" w:hAnsi="等线" w:eastAsia="等线" w:cs="等线"/>
                <w:sz w:val="19"/>
                <w:szCs w:val="19"/>
              </w:rPr>
            </w:pPr>
            <w:r>
              <w:rPr>
                <w:rFonts w:hint="eastAsia" w:ascii="等线" w:hAnsi="等线" w:eastAsia="等线" w:cs="等线"/>
                <w:sz w:val="19"/>
                <w:szCs w:val="19"/>
              </w:rPr>
              <w:t>港口与航运管理</w:t>
            </w:r>
          </w:p>
        </w:tc>
        <w:tc>
          <w:tcPr>
            <w:tcW w:w="18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5"/>
              <w:widowControl/>
              <w:spacing w:line="360" w:lineRule="auto"/>
              <w:jc w:val="center"/>
              <w:rPr>
                <w:rFonts w:ascii="等线" w:hAnsi="等线" w:eastAsia="等线" w:cs="等线"/>
                <w:sz w:val="19"/>
                <w:szCs w:val="19"/>
              </w:rPr>
            </w:pPr>
            <w:r>
              <w:rPr>
                <w:rFonts w:hint="eastAsia" w:ascii="等线" w:hAnsi="等线" w:eastAsia="等线" w:cs="等线"/>
                <w:sz w:val="19"/>
                <w:szCs w:val="19"/>
              </w:rPr>
              <w:t>10</w:t>
            </w:r>
          </w:p>
        </w:tc>
        <w:tc>
          <w:tcPr>
            <w:tcW w:w="21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5"/>
              <w:widowControl/>
              <w:spacing w:line="360" w:lineRule="auto"/>
              <w:jc w:val="center"/>
              <w:rPr>
                <w:rFonts w:ascii="等线" w:hAnsi="等线" w:eastAsia="等线" w:cs="等线"/>
                <w:sz w:val="19"/>
                <w:szCs w:val="19"/>
              </w:rPr>
            </w:pPr>
            <w:r>
              <w:rPr>
                <w:rFonts w:hint="eastAsia" w:ascii="等线" w:hAnsi="等线" w:eastAsia="等线" w:cs="等线"/>
                <w:sz w:val="19"/>
                <w:szCs w:val="19"/>
              </w:rPr>
              <w:t>5</w:t>
            </w:r>
          </w:p>
        </w:tc>
        <w:tc>
          <w:tcPr>
            <w:tcW w:w="2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5"/>
              <w:widowControl/>
              <w:spacing w:line="360" w:lineRule="auto"/>
              <w:jc w:val="center"/>
              <w:rPr>
                <w:rFonts w:ascii="等线" w:hAnsi="等线" w:eastAsia="等线" w:cs="等线"/>
                <w:sz w:val="19"/>
                <w:szCs w:val="19"/>
              </w:rPr>
            </w:pPr>
            <w:r>
              <w:rPr>
                <w:rFonts w:hint="eastAsia" w:ascii="等线" w:hAnsi="等线" w:eastAsia="等线" w:cs="等线"/>
                <w:sz w:val="19"/>
                <w:szCs w:val="19"/>
              </w:rPr>
              <w:t>30</w:t>
            </w:r>
          </w:p>
        </w:tc>
      </w:tr>
      <w:tr>
        <w:tblPrEx>
          <w:tblLayout w:type="fixed"/>
          <w:tblCellMar>
            <w:top w:w="0" w:type="dxa"/>
            <w:left w:w="0" w:type="dxa"/>
            <w:bottom w:w="0" w:type="dxa"/>
            <w:right w:w="0" w:type="dxa"/>
          </w:tblCellMar>
        </w:tblPrEx>
        <w:trPr>
          <w:trHeight w:val="285" w:hRule="atLeast"/>
        </w:trPr>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5"/>
              <w:widowControl/>
              <w:spacing w:line="360" w:lineRule="auto"/>
              <w:jc w:val="center"/>
              <w:rPr>
                <w:rFonts w:ascii="等线" w:hAnsi="等线" w:eastAsia="等线" w:cs="等线"/>
                <w:sz w:val="19"/>
                <w:szCs w:val="19"/>
              </w:rPr>
            </w:pPr>
            <w:r>
              <w:rPr>
                <w:rFonts w:hint="eastAsia" w:ascii="等线" w:hAnsi="等线" w:eastAsia="等线" w:cs="等线"/>
                <w:sz w:val="19"/>
                <w:szCs w:val="19"/>
              </w:rPr>
              <w:t>航海技术</w:t>
            </w:r>
          </w:p>
        </w:tc>
        <w:tc>
          <w:tcPr>
            <w:tcW w:w="18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5"/>
              <w:widowControl/>
              <w:spacing w:line="360" w:lineRule="auto"/>
              <w:jc w:val="center"/>
              <w:rPr>
                <w:rFonts w:ascii="等线" w:hAnsi="等线" w:eastAsia="等线" w:cs="等线"/>
                <w:sz w:val="19"/>
                <w:szCs w:val="19"/>
              </w:rPr>
            </w:pPr>
            <w:r>
              <w:rPr>
                <w:rFonts w:hint="eastAsia" w:ascii="等线" w:hAnsi="等线" w:eastAsia="等线" w:cs="等线"/>
                <w:sz w:val="19"/>
                <w:szCs w:val="19"/>
              </w:rPr>
              <w:t>10</w:t>
            </w:r>
          </w:p>
        </w:tc>
        <w:tc>
          <w:tcPr>
            <w:tcW w:w="21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5"/>
              <w:widowControl/>
              <w:spacing w:line="360" w:lineRule="auto"/>
              <w:jc w:val="center"/>
              <w:rPr>
                <w:rFonts w:ascii="等线" w:hAnsi="等线" w:eastAsia="等线" w:cs="等线"/>
                <w:sz w:val="19"/>
                <w:szCs w:val="19"/>
              </w:rPr>
            </w:pPr>
            <w:r>
              <w:rPr>
                <w:rFonts w:hint="eastAsia" w:ascii="等线" w:hAnsi="等线" w:eastAsia="等线" w:cs="等线"/>
                <w:sz w:val="19"/>
                <w:szCs w:val="19"/>
              </w:rPr>
              <w:t>5</w:t>
            </w:r>
          </w:p>
        </w:tc>
        <w:tc>
          <w:tcPr>
            <w:tcW w:w="2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5"/>
              <w:widowControl/>
              <w:spacing w:line="360" w:lineRule="auto"/>
              <w:jc w:val="center"/>
              <w:rPr>
                <w:rFonts w:ascii="等线" w:hAnsi="等线" w:eastAsia="等线" w:cs="等线"/>
                <w:sz w:val="19"/>
                <w:szCs w:val="19"/>
              </w:rPr>
            </w:pPr>
            <w:r>
              <w:rPr>
                <w:rFonts w:hint="eastAsia" w:ascii="等线" w:hAnsi="等线" w:eastAsia="等线" w:cs="等线"/>
                <w:sz w:val="19"/>
                <w:szCs w:val="19"/>
              </w:rPr>
              <w:t>70</w:t>
            </w:r>
          </w:p>
        </w:tc>
      </w:tr>
      <w:tr>
        <w:tblPrEx>
          <w:tblLayout w:type="fixed"/>
          <w:tblCellMar>
            <w:top w:w="0" w:type="dxa"/>
            <w:left w:w="0" w:type="dxa"/>
            <w:bottom w:w="0" w:type="dxa"/>
            <w:right w:w="0" w:type="dxa"/>
          </w:tblCellMar>
        </w:tblPrEx>
        <w:trPr>
          <w:trHeight w:val="285" w:hRule="atLeast"/>
        </w:trPr>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5"/>
              <w:widowControl/>
              <w:spacing w:line="360" w:lineRule="auto"/>
              <w:jc w:val="center"/>
              <w:rPr>
                <w:rFonts w:ascii="等线" w:hAnsi="等线" w:eastAsia="等线" w:cs="等线"/>
                <w:sz w:val="19"/>
                <w:szCs w:val="19"/>
              </w:rPr>
            </w:pPr>
            <w:r>
              <w:rPr>
                <w:rFonts w:hint="eastAsia" w:ascii="等线" w:hAnsi="等线" w:eastAsia="等线" w:cs="等线"/>
                <w:sz w:val="19"/>
                <w:szCs w:val="19"/>
              </w:rPr>
              <w:t>轮机工程技术</w:t>
            </w:r>
          </w:p>
        </w:tc>
        <w:tc>
          <w:tcPr>
            <w:tcW w:w="18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5"/>
              <w:widowControl/>
              <w:spacing w:line="360" w:lineRule="auto"/>
              <w:jc w:val="center"/>
              <w:rPr>
                <w:rFonts w:ascii="等线" w:hAnsi="等线" w:eastAsia="等线" w:cs="等线"/>
                <w:sz w:val="19"/>
                <w:szCs w:val="19"/>
              </w:rPr>
            </w:pPr>
            <w:r>
              <w:rPr>
                <w:rFonts w:hint="eastAsia" w:ascii="等线" w:hAnsi="等线" w:eastAsia="等线" w:cs="等线"/>
                <w:sz w:val="19"/>
                <w:szCs w:val="19"/>
              </w:rPr>
              <w:t>10</w:t>
            </w:r>
          </w:p>
        </w:tc>
        <w:tc>
          <w:tcPr>
            <w:tcW w:w="21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5"/>
              <w:widowControl/>
              <w:spacing w:line="360" w:lineRule="auto"/>
              <w:jc w:val="center"/>
              <w:rPr>
                <w:rFonts w:ascii="等线" w:hAnsi="等线" w:eastAsia="等线" w:cs="等线"/>
                <w:sz w:val="19"/>
                <w:szCs w:val="19"/>
              </w:rPr>
            </w:pPr>
            <w:r>
              <w:rPr>
                <w:rFonts w:hint="eastAsia" w:ascii="等线" w:hAnsi="等线" w:eastAsia="等线" w:cs="等线"/>
                <w:sz w:val="19"/>
                <w:szCs w:val="19"/>
              </w:rPr>
              <w:t>5</w:t>
            </w:r>
          </w:p>
        </w:tc>
        <w:tc>
          <w:tcPr>
            <w:tcW w:w="2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5"/>
              <w:widowControl/>
              <w:spacing w:line="360" w:lineRule="auto"/>
              <w:jc w:val="center"/>
              <w:rPr>
                <w:rFonts w:ascii="等线" w:hAnsi="等线" w:eastAsia="等线" w:cs="等线"/>
                <w:sz w:val="19"/>
                <w:szCs w:val="19"/>
              </w:rPr>
            </w:pPr>
            <w:r>
              <w:rPr>
                <w:rFonts w:hint="eastAsia" w:ascii="等线" w:hAnsi="等线" w:eastAsia="等线" w:cs="等线"/>
                <w:sz w:val="19"/>
                <w:szCs w:val="19"/>
              </w:rPr>
              <w:t>70</w:t>
            </w:r>
          </w:p>
        </w:tc>
      </w:tr>
      <w:tr>
        <w:tblPrEx>
          <w:tblLayout w:type="fixed"/>
          <w:tblCellMar>
            <w:top w:w="0" w:type="dxa"/>
            <w:left w:w="0" w:type="dxa"/>
            <w:bottom w:w="0" w:type="dxa"/>
            <w:right w:w="0" w:type="dxa"/>
          </w:tblCellMar>
        </w:tblPrEx>
        <w:trPr>
          <w:trHeight w:val="285" w:hRule="atLeast"/>
        </w:trPr>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5"/>
              <w:widowControl/>
              <w:spacing w:line="360" w:lineRule="auto"/>
              <w:jc w:val="center"/>
              <w:rPr>
                <w:rFonts w:ascii="等线" w:hAnsi="等线" w:eastAsia="等线" w:cs="等线"/>
                <w:sz w:val="19"/>
                <w:szCs w:val="19"/>
              </w:rPr>
            </w:pPr>
            <w:r>
              <w:rPr>
                <w:rFonts w:hint="eastAsia" w:ascii="等线" w:hAnsi="等线" w:eastAsia="等线" w:cs="等线"/>
                <w:sz w:val="19"/>
                <w:szCs w:val="19"/>
              </w:rPr>
              <w:t>物流管理</w:t>
            </w:r>
          </w:p>
        </w:tc>
        <w:tc>
          <w:tcPr>
            <w:tcW w:w="18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5"/>
              <w:widowControl/>
              <w:spacing w:line="360" w:lineRule="auto"/>
              <w:jc w:val="center"/>
              <w:rPr>
                <w:rFonts w:ascii="等线" w:hAnsi="等线" w:eastAsia="等线" w:cs="等线"/>
                <w:sz w:val="19"/>
                <w:szCs w:val="19"/>
              </w:rPr>
            </w:pPr>
            <w:r>
              <w:rPr>
                <w:rFonts w:hint="eastAsia" w:ascii="等线" w:hAnsi="等线" w:eastAsia="等线" w:cs="等线"/>
                <w:sz w:val="19"/>
                <w:szCs w:val="19"/>
              </w:rPr>
              <w:t>10</w:t>
            </w:r>
          </w:p>
        </w:tc>
        <w:tc>
          <w:tcPr>
            <w:tcW w:w="21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5"/>
              <w:widowControl/>
              <w:spacing w:line="360" w:lineRule="auto"/>
              <w:jc w:val="center"/>
              <w:rPr>
                <w:rFonts w:ascii="等线" w:hAnsi="等线" w:eastAsia="等线" w:cs="等线"/>
                <w:sz w:val="19"/>
                <w:szCs w:val="19"/>
              </w:rPr>
            </w:pPr>
            <w:r>
              <w:rPr>
                <w:rFonts w:hint="eastAsia" w:ascii="等线" w:hAnsi="等线" w:eastAsia="等线" w:cs="等线"/>
                <w:sz w:val="19"/>
                <w:szCs w:val="19"/>
              </w:rPr>
              <w:t>5</w:t>
            </w:r>
          </w:p>
        </w:tc>
        <w:tc>
          <w:tcPr>
            <w:tcW w:w="2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5"/>
              <w:widowControl/>
              <w:spacing w:line="360" w:lineRule="auto"/>
              <w:jc w:val="center"/>
              <w:rPr>
                <w:rFonts w:ascii="等线" w:hAnsi="等线" w:eastAsia="等线" w:cs="等线"/>
                <w:sz w:val="19"/>
                <w:szCs w:val="19"/>
              </w:rPr>
            </w:pPr>
            <w:r>
              <w:rPr>
                <w:rFonts w:hint="eastAsia" w:ascii="等线" w:hAnsi="等线" w:eastAsia="等线" w:cs="等线"/>
                <w:sz w:val="19"/>
                <w:szCs w:val="19"/>
              </w:rPr>
              <w:t>30</w:t>
            </w:r>
          </w:p>
        </w:tc>
      </w:tr>
      <w:tr>
        <w:tblPrEx>
          <w:tblLayout w:type="fixed"/>
          <w:tblCellMar>
            <w:top w:w="0" w:type="dxa"/>
            <w:left w:w="0" w:type="dxa"/>
            <w:bottom w:w="0" w:type="dxa"/>
            <w:right w:w="0" w:type="dxa"/>
          </w:tblCellMar>
        </w:tblPrEx>
        <w:trPr>
          <w:trHeight w:val="285" w:hRule="atLeast"/>
        </w:trPr>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5"/>
              <w:widowControl/>
              <w:spacing w:line="360" w:lineRule="auto"/>
              <w:jc w:val="center"/>
              <w:rPr>
                <w:rFonts w:ascii="等线" w:hAnsi="等线" w:eastAsia="等线" w:cs="等线"/>
                <w:sz w:val="19"/>
                <w:szCs w:val="19"/>
              </w:rPr>
            </w:pPr>
            <w:r>
              <w:rPr>
                <w:rFonts w:hint="eastAsia" w:ascii="等线" w:hAnsi="等线" w:eastAsia="等线" w:cs="等线"/>
                <w:sz w:val="19"/>
                <w:szCs w:val="19"/>
              </w:rPr>
              <w:t>电子商务</w:t>
            </w:r>
          </w:p>
        </w:tc>
        <w:tc>
          <w:tcPr>
            <w:tcW w:w="18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5"/>
              <w:widowControl/>
              <w:spacing w:line="360" w:lineRule="auto"/>
              <w:jc w:val="center"/>
              <w:rPr>
                <w:rFonts w:ascii="等线" w:hAnsi="等线" w:eastAsia="等线" w:cs="等线"/>
                <w:sz w:val="19"/>
                <w:szCs w:val="19"/>
              </w:rPr>
            </w:pPr>
            <w:r>
              <w:rPr>
                <w:rFonts w:hint="eastAsia" w:ascii="等线" w:hAnsi="等线" w:eastAsia="等线" w:cs="等线"/>
                <w:sz w:val="19"/>
                <w:szCs w:val="19"/>
              </w:rPr>
              <w:t>20</w:t>
            </w:r>
          </w:p>
        </w:tc>
        <w:tc>
          <w:tcPr>
            <w:tcW w:w="21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5"/>
              <w:widowControl/>
              <w:spacing w:line="360" w:lineRule="auto"/>
              <w:jc w:val="center"/>
              <w:rPr>
                <w:rFonts w:ascii="等线" w:hAnsi="等线" w:eastAsia="等线" w:cs="等线"/>
                <w:sz w:val="19"/>
                <w:szCs w:val="19"/>
              </w:rPr>
            </w:pPr>
            <w:r>
              <w:rPr>
                <w:rFonts w:hint="eastAsia" w:ascii="等线" w:hAnsi="等线" w:eastAsia="等线" w:cs="等线"/>
                <w:sz w:val="19"/>
                <w:szCs w:val="19"/>
              </w:rPr>
              <w:t>5</w:t>
            </w:r>
          </w:p>
        </w:tc>
        <w:tc>
          <w:tcPr>
            <w:tcW w:w="2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5"/>
              <w:widowControl/>
              <w:spacing w:line="360" w:lineRule="auto"/>
              <w:jc w:val="center"/>
              <w:rPr>
                <w:rFonts w:ascii="等线" w:hAnsi="等线" w:eastAsia="等线" w:cs="等线"/>
                <w:sz w:val="19"/>
                <w:szCs w:val="19"/>
              </w:rPr>
            </w:pPr>
            <w:r>
              <w:rPr>
                <w:rFonts w:hint="eastAsia" w:ascii="等线" w:hAnsi="等线" w:eastAsia="等线" w:cs="等线"/>
                <w:sz w:val="19"/>
                <w:szCs w:val="19"/>
              </w:rPr>
              <w:t>40</w:t>
            </w:r>
          </w:p>
        </w:tc>
      </w:tr>
      <w:tr>
        <w:tblPrEx>
          <w:tblLayout w:type="fixed"/>
          <w:tblCellMar>
            <w:top w:w="0" w:type="dxa"/>
            <w:left w:w="0" w:type="dxa"/>
            <w:bottom w:w="0" w:type="dxa"/>
            <w:right w:w="0" w:type="dxa"/>
          </w:tblCellMar>
        </w:tblPrEx>
        <w:trPr>
          <w:trHeight w:val="285" w:hRule="atLeast"/>
        </w:trPr>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5"/>
              <w:widowControl/>
              <w:spacing w:line="360" w:lineRule="auto"/>
              <w:jc w:val="center"/>
              <w:rPr>
                <w:rFonts w:ascii="等线" w:hAnsi="等线" w:eastAsia="等线" w:cs="等线"/>
                <w:sz w:val="19"/>
                <w:szCs w:val="19"/>
              </w:rPr>
            </w:pPr>
            <w:r>
              <w:rPr>
                <w:rFonts w:hint="eastAsia" w:ascii="等线" w:hAnsi="等线" w:eastAsia="等线" w:cs="等线"/>
                <w:sz w:val="19"/>
                <w:szCs w:val="19"/>
              </w:rPr>
              <w:t>安全技术与管理</w:t>
            </w:r>
          </w:p>
        </w:tc>
        <w:tc>
          <w:tcPr>
            <w:tcW w:w="18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5"/>
              <w:widowControl/>
              <w:spacing w:line="360" w:lineRule="auto"/>
              <w:jc w:val="center"/>
              <w:rPr>
                <w:rFonts w:ascii="等线" w:hAnsi="等线" w:eastAsia="等线" w:cs="等线"/>
                <w:sz w:val="19"/>
                <w:szCs w:val="19"/>
              </w:rPr>
            </w:pPr>
            <w:r>
              <w:rPr>
                <w:rFonts w:hint="eastAsia" w:ascii="等线" w:hAnsi="等线" w:eastAsia="等线" w:cs="等线"/>
                <w:sz w:val="19"/>
                <w:szCs w:val="19"/>
              </w:rPr>
              <w:t>10</w:t>
            </w:r>
          </w:p>
        </w:tc>
        <w:tc>
          <w:tcPr>
            <w:tcW w:w="21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5"/>
              <w:widowControl/>
              <w:spacing w:line="360" w:lineRule="auto"/>
              <w:jc w:val="center"/>
              <w:rPr>
                <w:rFonts w:ascii="等线" w:hAnsi="等线" w:eastAsia="等线" w:cs="等线"/>
                <w:sz w:val="19"/>
                <w:szCs w:val="19"/>
              </w:rPr>
            </w:pPr>
            <w:r>
              <w:rPr>
                <w:rFonts w:hint="eastAsia" w:ascii="等线" w:hAnsi="等线" w:eastAsia="等线" w:cs="等线"/>
                <w:sz w:val="19"/>
                <w:szCs w:val="19"/>
              </w:rPr>
              <w:t>0</w:t>
            </w:r>
          </w:p>
        </w:tc>
        <w:tc>
          <w:tcPr>
            <w:tcW w:w="2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5"/>
              <w:widowControl/>
              <w:spacing w:line="360" w:lineRule="auto"/>
              <w:jc w:val="center"/>
              <w:rPr>
                <w:rFonts w:ascii="等线" w:hAnsi="等线" w:eastAsia="等线" w:cs="等线"/>
                <w:sz w:val="19"/>
                <w:szCs w:val="19"/>
              </w:rPr>
            </w:pPr>
            <w:r>
              <w:rPr>
                <w:rFonts w:hint="eastAsia" w:ascii="等线" w:hAnsi="等线" w:eastAsia="等线" w:cs="等线"/>
                <w:sz w:val="19"/>
                <w:szCs w:val="19"/>
              </w:rPr>
              <w:t>10</w:t>
            </w:r>
          </w:p>
        </w:tc>
      </w:tr>
      <w:tr>
        <w:tblPrEx>
          <w:tblLayout w:type="fixed"/>
          <w:tblCellMar>
            <w:top w:w="0" w:type="dxa"/>
            <w:left w:w="0" w:type="dxa"/>
            <w:bottom w:w="0" w:type="dxa"/>
            <w:right w:w="0" w:type="dxa"/>
          </w:tblCellMar>
        </w:tblPrEx>
        <w:trPr>
          <w:trHeight w:val="285" w:hRule="atLeast"/>
        </w:trPr>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5"/>
              <w:widowControl/>
              <w:spacing w:line="360" w:lineRule="auto"/>
              <w:jc w:val="center"/>
              <w:rPr>
                <w:rFonts w:ascii="等线" w:hAnsi="等线" w:eastAsia="等线" w:cs="等线"/>
                <w:sz w:val="19"/>
                <w:szCs w:val="19"/>
              </w:rPr>
            </w:pPr>
            <w:r>
              <w:rPr>
                <w:rFonts w:hint="eastAsia" w:ascii="等线" w:hAnsi="等线" w:eastAsia="等线" w:cs="等线"/>
                <w:sz w:val="19"/>
                <w:szCs w:val="19"/>
              </w:rPr>
              <w:t>大数据技术与应用</w:t>
            </w:r>
          </w:p>
        </w:tc>
        <w:tc>
          <w:tcPr>
            <w:tcW w:w="18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5"/>
              <w:widowControl/>
              <w:spacing w:line="360" w:lineRule="auto"/>
              <w:jc w:val="center"/>
              <w:rPr>
                <w:rFonts w:ascii="等线" w:hAnsi="等线" w:eastAsia="等线" w:cs="等线"/>
                <w:sz w:val="19"/>
                <w:szCs w:val="19"/>
              </w:rPr>
            </w:pPr>
            <w:r>
              <w:rPr>
                <w:rFonts w:hint="eastAsia" w:ascii="等线" w:hAnsi="等线" w:eastAsia="等线" w:cs="等线"/>
                <w:sz w:val="19"/>
                <w:szCs w:val="19"/>
              </w:rPr>
              <w:t>20</w:t>
            </w:r>
          </w:p>
        </w:tc>
        <w:tc>
          <w:tcPr>
            <w:tcW w:w="21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5"/>
              <w:widowControl/>
              <w:spacing w:line="360" w:lineRule="auto"/>
              <w:jc w:val="center"/>
              <w:rPr>
                <w:rFonts w:ascii="等线" w:hAnsi="等线" w:eastAsia="等线" w:cs="等线"/>
                <w:sz w:val="19"/>
                <w:szCs w:val="19"/>
              </w:rPr>
            </w:pPr>
            <w:r>
              <w:rPr>
                <w:rFonts w:hint="eastAsia" w:ascii="等线" w:hAnsi="等线" w:eastAsia="等线" w:cs="等线"/>
                <w:sz w:val="19"/>
                <w:szCs w:val="19"/>
              </w:rPr>
              <w:t>5</w:t>
            </w:r>
          </w:p>
        </w:tc>
        <w:tc>
          <w:tcPr>
            <w:tcW w:w="2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5"/>
              <w:widowControl/>
              <w:spacing w:line="360" w:lineRule="auto"/>
              <w:jc w:val="center"/>
              <w:rPr>
                <w:rFonts w:ascii="等线" w:hAnsi="等线" w:eastAsia="等线" w:cs="等线"/>
                <w:sz w:val="19"/>
                <w:szCs w:val="19"/>
              </w:rPr>
            </w:pPr>
            <w:r>
              <w:rPr>
                <w:rFonts w:hint="eastAsia" w:ascii="等线" w:hAnsi="等线" w:eastAsia="等线" w:cs="等线"/>
                <w:sz w:val="19"/>
                <w:szCs w:val="19"/>
              </w:rPr>
              <w:t>20</w:t>
            </w:r>
          </w:p>
        </w:tc>
      </w:tr>
      <w:tr>
        <w:tblPrEx>
          <w:tblLayout w:type="fixed"/>
          <w:tblCellMar>
            <w:top w:w="0" w:type="dxa"/>
            <w:left w:w="0" w:type="dxa"/>
            <w:bottom w:w="0" w:type="dxa"/>
            <w:right w:w="0" w:type="dxa"/>
          </w:tblCellMar>
        </w:tblPrEx>
        <w:trPr>
          <w:trHeight w:val="285" w:hRule="atLeast"/>
        </w:trPr>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5"/>
              <w:widowControl/>
              <w:spacing w:line="360" w:lineRule="auto"/>
              <w:jc w:val="center"/>
              <w:rPr>
                <w:rFonts w:ascii="等线" w:hAnsi="等线" w:eastAsia="等线" w:cs="等线"/>
                <w:sz w:val="19"/>
                <w:szCs w:val="19"/>
              </w:rPr>
            </w:pPr>
            <w:r>
              <w:rPr>
                <w:rFonts w:hint="eastAsia" w:ascii="等线" w:hAnsi="等线" w:eastAsia="等线" w:cs="等线"/>
                <w:sz w:val="19"/>
                <w:szCs w:val="19"/>
              </w:rPr>
              <w:t>物联网应用技术</w:t>
            </w:r>
          </w:p>
        </w:tc>
        <w:tc>
          <w:tcPr>
            <w:tcW w:w="18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5"/>
              <w:widowControl/>
              <w:spacing w:line="360" w:lineRule="auto"/>
              <w:jc w:val="center"/>
              <w:rPr>
                <w:rFonts w:ascii="等线" w:hAnsi="等线" w:eastAsia="等线" w:cs="等线"/>
                <w:sz w:val="19"/>
                <w:szCs w:val="19"/>
              </w:rPr>
            </w:pPr>
            <w:r>
              <w:rPr>
                <w:rFonts w:hint="eastAsia" w:ascii="等线" w:hAnsi="等线" w:eastAsia="等线" w:cs="等线"/>
                <w:sz w:val="19"/>
                <w:szCs w:val="19"/>
              </w:rPr>
              <w:t>20</w:t>
            </w:r>
          </w:p>
        </w:tc>
        <w:tc>
          <w:tcPr>
            <w:tcW w:w="21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5"/>
              <w:widowControl/>
              <w:spacing w:line="360" w:lineRule="auto"/>
              <w:jc w:val="center"/>
              <w:rPr>
                <w:rFonts w:ascii="等线" w:hAnsi="等线" w:eastAsia="等线" w:cs="等线"/>
                <w:sz w:val="19"/>
                <w:szCs w:val="19"/>
              </w:rPr>
            </w:pPr>
            <w:r>
              <w:rPr>
                <w:rFonts w:hint="eastAsia" w:ascii="等线" w:hAnsi="等线" w:eastAsia="等线" w:cs="等线"/>
                <w:sz w:val="19"/>
                <w:szCs w:val="19"/>
              </w:rPr>
              <w:t>5</w:t>
            </w:r>
          </w:p>
        </w:tc>
        <w:tc>
          <w:tcPr>
            <w:tcW w:w="2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5"/>
              <w:widowControl/>
              <w:spacing w:line="360" w:lineRule="auto"/>
              <w:jc w:val="center"/>
              <w:rPr>
                <w:rFonts w:ascii="等线" w:hAnsi="等线" w:eastAsia="等线" w:cs="等线"/>
                <w:sz w:val="19"/>
                <w:szCs w:val="19"/>
              </w:rPr>
            </w:pPr>
            <w:r>
              <w:rPr>
                <w:rFonts w:hint="eastAsia" w:ascii="等线" w:hAnsi="等线" w:eastAsia="等线" w:cs="等线"/>
                <w:sz w:val="19"/>
                <w:szCs w:val="19"/>
              </w:rPr>
              <w:t>20</w:t>
            </w:r>
          </w:p>
        </w:tc>
      </w:tr>
      <w:tr>
        <w:tblPrEx>
          <w:tblLayout w:type="fixed"/>
          <w:tblCellMar>
            <w:top w:w="0" w:type="dxa"/>
            <w:left w:w="0" w:type="dxa"/>
            <w:bottom w:w="0" w:type="dxa"/>
            <w:right w:w="0" w:type="dxa"/>
          </w:tblCellMar>
        </w:tblPrEx>
        <w:trPr>
          <w:trHeight w:val="285" w:hRule="atLeast"/>
        </w:trPr>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5"/>
              <w:widowControl/>
              <w:spacing w:line="360" w:lineRule="auto"/>
              <w:jc w:val="center"/>
              <w:rPr>
                <w:rFonts w:ascii="等线" w:hAnsi="等线" w:eastAsia="等线" w:cs="等线"/>
                <w:sz w:val="19"/>
                <w:szCs w:val="19"/>
              </w:rPr>
            </w:pPr>
            <w:r>
              <w:rPr>
                <w:rFonts w:hint="eastAsia" w:ascii="等线" w:hAnsi="等线" w:eastAsia="等线" w:cs="等线"/>
                <w:sz w:val="19"/>
                <w:szCs w:val="19"/>
              </w:rPr>
              <w:t>合计</w:t>
            </w:r>
          </w:p>
        </w:tc>
        <w:tc>
          <w:tcPr>
            <w:tcW w:w="18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5"/>
              <w:widowControl/>
              <w:spacing w:line="360" w:lineRule="auto"/>
              <w:jc w:val="center"/>
              <w:rPr>
                <w:rFonts w:ascii="等线" w:hAnsi="等线" w:eastAsia="等线" w:cs="等线"/>
                <w:sz w:val="19"/>
                <w:szCs w:val="19"/>
              </w:rPr>
            </w:pPr>
            <w:r>
              <w:rPr>
                <w:rFonts w:hint="eastAsia" w:ascii="等线" w:hAnsi="等线" w:eastAsia="等线" w:cs="等线"/>
                <w:sz w:val="19"/>
                <w:szCs w:val="19"/>
              </w:rPr>
              <w:t>270</w:t>
            </w:r>
          </w:p>
        </w:tc>
        <w:tc>
          <w:tcPr>
            <w:tcW w:w="21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5"/>
              <w:widowControl/>
              <w:spacing w:line="360" w:lineRule="auto"/>
              <w:jc w:val="center"/>
              <w:rPr>
                <w:rFonts w:ascii="等线" w:hAnsi="等线" w:eastAsia="等线" w:cs="等线"/>
                <w:sz w:val="19"/>
                <w:szCs w:val="19"/>
              </w:rPr>
            </w:pPr>
            <w:r>
              <w:rPr>
                <w:rFonts w:hint="eastAsia" w:ascii="等线" w:hAnsi="等线" w:eastAsia="等线" w:cs="等线"/>
                <w:sz w:val="19"/>
                <w:szCs w:val="19"/>
              </w:rPr>
              <w:t>60</w:t>
            </w:r>
          </w:p>
        </w:tc>
        <w:tc>
          <w:tcPr>
            <w:tcW w:w="2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5"/>
              <w:widowControl/>
              <w:spacing w:line="360" w:lineRule="auto"/>
              <w:jc w:val="center"/>
              <w:rPr>
                <w:rFonts w:ascii="等线" w:hAnsi="等线" w:eastAsia="等线" w:cs="等线"/>
                <w:sz w:val="19"/>
                <w:szCs w:val="19"/>
              </w:rPr>
            </w:pPr>
            <w:r>
              <w:rPr>
                <w:rFonts w:hint="eastAsia" w:ascii="等线" w:hAnsi="等线" w:eastAsia="等线" w:cs="等线"/>
                <w:sz w:val="19"/>
                <w:szCs w:val="19"/>
              </w:rPr>
              <w:t>530</w:t>
            </w:r>
          </w:p>
        </w:tc>
      </w:tr>
    </w:tbl>
    <w:p>
      <w:pPr>
        <w:pStyle w:val="5"/>
        <w:widowControl/>
        <w:spacing w:beforeAutospacing="0" w:afterAutospacing="0" w:line="360" w:lineRule="auto"/>
        <w:jc w:val="both"/>
        <w:rPr>
          <w:rFonts w:ascii="仿宋" w:hAnsi="仿宋" w:eastAsia="仿宋" w:cs="仿宋"/>
          <w:color w:val="000000"/>
        </w:rPr>
      </w:pPr>
    </w:p>
    <w:p>
      <w:pPr>
        <w:pStyle w:val="5"/>
        <w:widowControl/>
        <w:spacing w:beforeAutospacing="0" w:afterAutospacing="0" w:line="360" w:lineRule="auto"/>
        <w:ind w:firstLine="480" w:firstLineChars="200"/>
        <w:jc w:val="both"/>
        <w:rPr>
          <w:rFonts w:ascii="仿宋" w:hAnsi="仿宋" w:eastAsia="仿宋" w:cs="仿宋"/>
          <w:color w:val="000000"/>
        </w:rPr>
      </w:pPr>
      <w:r>
        <w:rPr>
          <w:rFonts w:ascii="仿宋" w:hAnsi="仿宋" w:eastAsia="仿宋" w:cs="仿宋"/>
        </w:rPr>
        <w:t>第</w:t>
      </w:r>
      <w:r>
        <w:rPr>
          <w:rFonts w:hint="eastAsia" w:ascii="仿宋" w:hAnsi="仿宋" w:eastAsia="仿宋" w:cs="仿宋"/>
        </w:rPr>
        <w:t>十</w:t>
      </w:r>
      <w:r>
        <w:rPr>
          <w:rFonts w:ascii="仿宋" w:hAnsi="仿宋" w:eastAsia="仿宋" w:cs="仿宋"/>
        </w:rPr>
        <w:t>条 </w:t>
      </w:r>
      <w:r>
        <w:rPr>
          <w:rFonts w:hint="eastAsia" w:ascii="仿宋" w:hAnsi="仿宋" w:eastAsia="仿宋" w:cs="仿宋"/>
          <w:color w:val="000000"/>
        </w:rPr>
        <w:t>招生形式、类别</w:t>
      </w:r>
    </w:p>
    <w:p>
      <w:pPr>
        <w:pStyle w:val="5"/>
        <w:widowControl/>
        <w:spacing w:beforeAutospacing="0" w:afterAutospacing="0" w:line="360" w:lineRule="auto"/>
        <w:ind w:firstLine="480" w:firstLineChars="200"/>
        <w:jc w:val="both"/>
        <w:rPr>
          <w:rFonts w:ascii="仿宋" w:hAnsi="仿宋" w:eastAsia="仿宋" w:cs="仿宋"/>
          <w:color w:val="000000"/>
        </w:rPr>
      </w:pPr>
      <w:r>
        <w:rPr>
          <w:rFonts w:hint="eastAsia" w:ascii="仿宋" w:hAnsi="仿宋" w:eastAsia="仿宋" w:cs="仿宋"/>
          <w:color w:val="000000"/>
        </w:rPr>
        <w:t>招生形式为单独招生。设 A、B、C 三个类别，其中A类计划主要招收高中阶段应届毕业生，B 类计划主要招收退役军人，C 类计划主要招收下岗失业人员、农民工、农民、在岗职工等。高中阶段应届毕业生不能报考 B 类、C 类。</w:t>
      </w:r>
    </w:p>
    <w:p>
      <w:pPr>
        <w:pStyle w:val="5"/>
        <w:widowControl/>
        <w:spacing w:before="156" w:beforeLines="50" w:beforeAutospacing="0" w:after="156" w:afterLines="50" w:afterAutospacing="0" w:line="360" w:lineRule="auto"/>
        <w:jc w:val="center"/>
        <w:rPr>
          <w:rFonts w:ascii="仿宋" w:hAnsi="仿宋" w:eastAsia="仿宋" w:cs="仿宋"/>
          <w:color w:val="000000"/>
        </w:rPr>
      </w:pPr>
      <w:r>
        <w:rPr>
          <w:rFonts w:hint="eastAsia" w:ascii="仿宋" w:hAnsi="仿宋" w:eastAsia="仿宋" w:cs="仿宋"/>
          <w:b/>
          <w:bCs/>
          <w:sz w:val="28"/>
          <w:szCs w:val="28"/>
        </w:rPr>
        <w:t>第五章 招生条件和录取规则</w:t>
      </w:r>
    </w:p>
    <w:p>
      <w:pPr>
        <w:pStyle w:val="5"/>
        <w:widowControl/>
        <w:spacing w:beforeAutospacing="0" w:afterAutospacing="0" w:line="360" w:lineRule="auto"/>
        <w:ind w:firstLine="480" w:firstLineChars="200"/>
        <w:jc w:val="both"/>
        <w:rPr>
          <w:rFonts w:ascii="仿宋" w:hAnsi="仿宋" w:eastAsia="仿宋" w:cs="仿宋"/>
        </w:rPr>
      </w:pPr>
      <w:r>
        <w:rPr>
          <w:rFonts w:ascii="仿宋" w:hAnsi="仿宋" w:eastAsia="仿宋" w:cs="仿宋"/>
        </w:rPr>
        <w:t>第</w:t>
      </w:r>
      <w:r>
        <w:rPr>
          <w:rFonts w:hint="eastAsia" w:ascii="仿宋" w:hAnsi="仿宋" w:eastAsia="仿宋" w:cs="仿宋"/>
        </w:rPr>
        <w:t>十一</w:t>
      </w:r>
      <w:r>
        <w:rPr>
          <w:rFonts w:ascii="仿宋" w:hAnsi="仿宋" w:eastAsia="仿宋" w:cs="仿宋"/>
        </w:rPr>
        <w:t>条 招生</w:t>
      </w:r>
      <w:r>
        <w:rPr>
          <w:rFonts w:hint="eastAsia" w:ascii="仿宋" w:hAnsi="仿宋" w:eastAsia="仿宋" w:cs="仿宋"/>
        </w:rPr>
        <w:t>对象</w:t>
      </w:r>
    </w:p>
    <w:p>
      <w:pPr>
        <w:pStyle w:val="5"/>
        <w:widowControl/>
        <w:spacing w:beforeAutospacing="0" w:afterAutospacing="0" w:line="360" w:lineRule="auto"/>
        <w:ind w:firstLine="480" w:firstLineChars="200"/>
        <w:jc w:val="both"/>
        <w:rPr>
          <w:rFonts w:ascii="仿宋" w:hAnsi="仿宋" w:eastAsia="仿宋" w:cs="仿宋"/>
          <w:color w:val="000000"/>
        </w:rPr>
      </w:pPr>
      <w:r>
        <w:rPr>
          <w:rFonts w:hint="eastAsia" w:ascii="仿宋" w:hAnsi="仿宋" w:eastAsia="仿宋" w:cs="仿宋"/>
          <w:color w:val="000000"/>
        </w:rPr>
        <w:t>高中阶段学校（含普通高中、职业高中、职业中专、普通中专、成人中专、技工学校，下同）应届毕业生、退役军人、下岗失业人员、农民工、农民、在岗职工等。</w:t>
      </w:r>
    </w:p>
    <w:p>
      <w:pPr>
        <w:pStyle w:val="5"/>
        <w:widowControl/>
        <w:spacing w:beforeAutospacing="0" w:afterAutospacing="0" w:line="360" w:lineRule="auto"/>
        <w:ind w:firstLine="480" w:firstLineChars="200"/>
        <w:jc w:val="both"/>
        <w:rPr>
          <w:rFonts w:hint="eastAsia" w:ascii="仿宋" w:hAnsi="仿宋" w:eastAsia="仿宋" w:cs="仿宋"/>
          <w:color w:val="000000"/>
        </w:rPr>
      </w:pPr>
      <w:r>
        <w:rPr>
          <w:rFonts w:hint="eastAsia" w:ascii="仿宋" w:hAnsi="仿宋" w:eastAsia="仿宋" w:cs="仿宋"/>
          <w:color w:val="000000"/>
        </w:rPr>
        <w:t>具有山东省户籍或在山东务工（需提供 6 个月以上劳动合同证明）、具有高中阶段学历或同等学力人员；非山东省户籍的就业人员随迁子女（含进城务工人员随迁子女）应具有山东省高中段学校学籍及完整学习经历，并合格毕业。已参加2019 年我省春季高考或夏季高考考试的考生，不再参加本次单独招生报名及考试。</w:t>
      </w:r>
    </w:p>
    <w:p>
      <w:pPr>
        <w:pStyle w:val="5"/>
        <w:widowControl/>
        <w:spacing w:beforeAutospacing="0" w:afterAutospacing="0" w:line="360" w:lineRule="auto"/>
        <w:ind w:firstLine="480" w:firstLineChars="200"/>
        <w:jc w:val="both"/>
        <w:rPr>
          <w:rFonts w:hint="eastAsia" w:ascii="仿宋" w:hAnsi="仿宋" w:eastAsia="仿宋" w:cs="仿宋"/>
          <w:color w:val="000000"/>
        </w:rPr>
      </w:pPr>
      <w:r>
        <w:rPr>
          <w:rFonts w:hint="eastAsia" w:ascii="仿宋" w:hAnsi="仿宋" w:eastAsia="仿宋" w:cs="仿宋"/>
          <w:color w:val="000000"/>
        </w:rPr>
        <w:t>考生的资格审核、报名安排及志愿填报等工作执行《山东省高等职业院校扩招实施方案》（鲁教职发〔2019〕1号）文件有关要求。详见教育厅网站“政策文件”栏目。</w:t>
      </w:r>
      <w:bookmarkStart w:id="0" w:name="_GoBack"/>
      <w:bookmarkEnd w:id="0"/>
    </w:p>
    <w:p>
      <w:pPr>
        <w:pStyle w:val="5"/>
        <w:widowControl/>
        <w:spacing w:beforeAutospacing="0" w:afterAutospacing="0" w:line="360" w:lineRule="auto"/>
        <w:ind w:firstLine="480" w:firstLineChars="200"/>
        <w:jc w:val="both"/>
        <w:rPr>
          <w:rFonts w:ascii="仿宋" w:hAnsi="仿宋" w:eastAsia="仿宋" w:cs="仿宋"/>
          <w:color w:val="000000"/>
        </w:rPr>
      </w:pPr>
      <w:r>
        <w:rPr>
          <w:rFonts w:ascii="仿宋" w:hAnsi="仿宋" w:eastAsia="仿宋" w:cs="仿宋"/>
        </w:rPr>
        <w:t>第</w:t>
      </w:r>
      <w:r>
        <w:rPr>
          <w:rFonts w:hint="eastAsia" w:ascii="仿宋" w:hAnsi="仿宋" w:eastAsia="仿宋" w:cs="仿宋"/>
        </w:rPr>
        <w:t>十二</w:t>
      </w:r>
      <w:r>
        <w:rPr>
          <w:rFonts w:ascii="仿宋" w:hAnsi="仿宋" w:eastAsia="仿宋" w:cs="仿宋"/>
        </w:rPr>
        <w:t>条 </w:t>
      </w:r>
      <w:r>
        <w:rPr>
          <w:rFonts w:hint="eastAsia" w:ascii="仿宋" w:hAnsi="仿宋" w:eastAsia="仿宋" w:cs="仿宋"/>
        </w:rPr>
        <w:t>考核及</w:t>
      </w:r>
      <w:r>
        <w:rPr>
          <w:rFonts w:hint="eastAsia" w:ascii="仿宋" w:hAnsi="仿宋" w:eastAsia="仿宋" w:cs="仿宋"/>
          <w:color w:val="000000"/>
        </w:rPr>
        <w:t>录取办法</w:t>
      </w:r>
    </w:p>
    <w:p>
      <w:pPr>
        <w:pStyle w:val="5"/>
        <w:widowControl/>
        <w:spacing w:beforeAutospacing="0" w:afterAutospacing="0" w:line="360" w:lineRule="auto"/>
        <w:ind w:firstLine="480" w:firstLineChars="200"/>
        <w:jc w:val="both"/>
        <w:rPr>
          <w:rFonts w:ascii="仿宋" w:hAnsi="仿宋" w:eastAsia="仿宋" w:cs="仿宋"/>
        </w:rPr>
      </w:pPr>
      <w:r>
        <w:rPr>
          <w:rFonts w:hint="eastAsia" w:ascii="仿宋" w:hAnsi="仿宋" w:eastAsia="仿宋" w:cs="仿宋"/>
        </w:rPr>
        <w:t>考生需在</w:t>
      </w:r>
      <w:r>
        <w:rPr>
          <w:rFonts w:ascii="Calibri" w:hAnsi="Calibri" w:cs="Calibri"/>
        </w:rPr>
        <w:t> </w:t>
      </w:r>
      <w:r>
        <w:rPr>
          <w:rFonts w:hint="eastAsia" w:ascii="仿宋" w:hAnsi="仿宋" w:eastAsia="仿宋" w:cs="仿宋"/>
        </w:rPr>
        <w:t>8 月 27 日到山东海事</w:t>
      </w:r>
      <w:r>
        <w:rPr>
          <w:rFonts w:ascii="仿宋" w:hAnsi="仿宋" w:eastAsia="仿宋" w:cs="仿宋"/>
        </w:rPr>
        <w:t>职业学院</w:t>
      </w:r>
      <w:r>
        <w:rPr>
          <w:rFonts w:hint="eastAsia" w:ascii="仿宋" w:hAnsi="仿宋" w:eastAsia="仿宋" w:cs="仿宋"/>
        </w:rPr>
        <w:t>参加考试。A 类考生考试内容为文化素质和专业技能，其中，文化素质 320 分，专业技能 430 分。B 类、C 类考生免予文化素质考试，只参加我院组织的与报考专业相关的职业适应性测试或面试，总分 750 分，分心理素质、身体条件、职业能力倾向、技术技能基础四部分。</w:t>
      </w:r>
    </w:p>
    <w:p>
      <w:pPr>
        <w:pStyle w:val="5"/>
        <w:widowControl/>
        <w:spacing w:beforeAutospacing="0" w:afterAutospacing="0" w:line="360" w:lineRule="auto"/>
        <w:ind w:firstLine="480" w:firstLineChars="200"/>
        <w:jc w:val="both"/>
        <w:rPr>
          <w:rFonts w:ascii="仿宋" w:hAnsi="仿宋" w:eastAsia="仿宋" w:cs="仿宋"/>
          <w:color w:val="000000"/>
        </w:rPr>
      </w:pPr>
      <w:r>
        <w:rPr>
          <w:rFonts w:ascii="仿宋" w:hAnsi="仿宋" w:eastAsia="仿宋" w:cs="仿宋"/>
        </w:rPr>
        <w:t>根据教育部和山东省教育厅的要求，按公平、公开、公正的原则，按照“分数优先、遵循志愿”的原则，</w:t>
      </w:r>
      <w:r>
        <w:rPr>
          <w:rFonts w:hint="eastAsia" w:ascii="仿宋" w:hAnsi="仿宋" w:eastAsia="仿宋" w:cs="仿宋"/>
        </w:rPr>
        <w:t>采取不同群体单列计划、单独录取方式进行，共录取 2 轮，</w:t>
      </w:r>
      <w:r>
        <w:rPr>
          <w:rFonts w:hint="eastAsia" w:ascii="仿宋" w:hAnsi="仿宋" w:eastAsia="仿宋" w:cs="仿宋"/>
          <w:color w:val="000000"/>
        </w:rPr>
        <w:t>按考生的总成绩相应类别分别从高分到低分顺序录取，额满为止。如</w:t>
      </w:r>
      <w:r>
        <w:rPr>
          <w:rFonts w:ascii="仿宋" w:hAnsi="仿宋" w:eastAsia="仿宋" w:cs="仿宋"/>
        </w:rPr>
        <w:t>个别专业生源不足，学院将根据考生报考情况适当调整专业计划，将剩余计划调至其它专业使用。征集志愿报考我校的考生，按照“分数优先”原则录取。</w:t>
      </w:r>
    </w:p>
    <w:p>
      <w:pPr>
        <w:pStyle w:val="5"/>
        <w:widowControl/>
        <w:spacing w:before="156" w:beforeLines="50" w:beforeAutospacing="0" w:after="156" w:afterLines="50" w:afterAutospacing="0" w:line="360" w:lineRule="auto"/>
        <w:jc w:val="center"/>
        <w:rPr>
          <w:rFonts w:ascii="仿宋" w:hAnsi="仿宋" w:eastAsia="仿宋" w:cs="仿宋"/>
          <w:b/>
          <w:bCs/>
          <w:sz w:val="28"/>
          <w:szCs w:val="28"/>
        </w:rPr>
      </w:pPr>
      <w:r>
        <w:rPr>
          <w:rFonts w:hint="eastAsia" w:ascii="仿宋" w:hAnsi="仿宋" w:eastAsia="仿宋" w:cs="仿宋"/>
          <w:b/>
          <w:bCs/>
          <w:sz w:val="28"/>
          <w:szCs w:val="28"/>
        </w:rPr>
        <w:t>第六章 其 它</w:t>
      </w:r>
    </w:p>
    <w:p>
      <w:pPr>
        <w:pStyle w:val="5"/>
        <w:widowControl/>
        <w:spacing w:beforeAutospacing="0" w:afterAutospacing="0" w:line="360" w:lineRule="auto"/>
        <w:ind w:firstLine="480" w:firstLineChars="200"/>
        <w:jc w:val="both"/>
        <w:rPr>
          <w:rFonts w:hint="eastAsia" w:ascii="仿宋" w:hAnsi="仿宋" w:eastAsia="仿宋" w:cs="仿宋"/>
          <w:lang w:eastAsia="zh-CN"/>
        </w:rPr>
      </w:pPr>
      <w:r>
        <w:rPr>
          <w:rFonts w:hint="eastAsia" w:ascii="仿宋" w:hAnsi="仿宋" w:eastAsia="仿宋" w:cs="仿宋"/>
        </w:rPr>
        <w:t>学费和住宿费等收费标准，详见学校招生网站。</w:t>
      </w:r>
      <w:r>
        <w:rPr>
          <w:rFonts w:hint="eastAsia" w:ascii="仿宋" w:hAnsi="仿宋" w:eastAsia="仿宋" w:cs="仿宋"/>
          <w:lang w:eastAsia="zh-CN"/>
        </w:rPr>
        <w:t>退费按照</w:t>
      </w:r>
      <w:r>
        <w:rPr>
          <w:rFonts w:hint="eastAsia" w:ascii="仿宋" w:hAnsi="仿宋" w:eastAsia="仿宋" w:cs="仿宋"/>
          <w:b w:val="0"/>
          <w:i w:val="0"/>
          <w:caps w:val="0"/>
          <w:color w:val="000000"/>
          <w:spacing w:val="0"/>
          <w:sz w:val="24"/>
          <w:szCs w:val="24"/>
        </w:rPr>
        <w:t>山东省教育厅等七部门鲁教财字〔</w:t>
      </w:r>
      <w:r>
        <w:rPr>
          <w:rFonts w:hint="eastAsia" w:ascii="仿宋" w:hAnsi="仿宋" w:eastAsia="仿宋" w:cs="仿宋"/>
          <w:b w:val="0"/>
          <w:i w:val="0"/>
          <w:caps w:val="0"/>
          <w:color w:val="000000"/>
          <w:spacing w:val="0"/>
          <w:sz w:val="24"/>
          <w:szCs w:val="24"/>
          <w:lang w:val="en-US"/>
        </w:rPr>
        <w:t>2010</w:t>
      </w:r>
      <w:r>
        <w:rPr>
          <w:rFonts w:hint="eastAsia" w:ascii="仿宋" w:hAnsi="仿宋" w:eastAsia="仿宋" w:cs="仿宋"/>
          <w:b w:val="0"/>
          <w:i w:val="0"/>
          <w:caps w:val="0"/>
          <w:color w:val="000000"/>
          <w:spacing w:val="0"/>
          <w:sz w:val="24"/>
          <w:szCs w:val="24"/>
        </w:rPr>
        <w:t>〕</w:t>
      </w:r>
      <w:r>
        <w:rPr>
          <w:rFonts w:hint="eastAsia" w:ascii="仿宋" w:hAnsi="仿宋" w:eastAsia="仿宋" w:cs="仿宋"/>
          <w:b w:val="0"/>
          <w:i w:val="0"/>
          <w:caps w:val="0"/>
          <w:color w:val="000000"/>
          <w:spacing w:val="0"/>
          <w:sz w:val="24"/>
          <w:szCs w:val="24"/>
          <w:lang w:val="en-US"/>
        </w:rPr>
        <w:t>27</w:t>
      </w:r>
      <w:r>
        <w:rPr>
          <w:rFonts w:hint="eastAsia" w:ascii="仿宋" w:hAnsi="仿宋" w:eastAsia="仿宋" w:cs="仿宋"/>
          <w:b w:val="0"/>
          <w:i w:val="0"/>
          <w:caps w:val="0"/>
          <w:color w:val="000000"/>
          <w:spacing w:val="0"/>
          <w:sz w:val="24"/>
          <w:szCs w:val="24"/>
        </w:rPr>
        <w:t>号文件有关规定执行。</w:t>
      </w:r>
    </w:p>
    <w:p>
      <w:pPr>
        <w:pStyle w:val="5"/>
        <w:widowControl/>
        <w:spacing w:beforeAutospacing="0" w:afterAutospacing="0" w:line="360" w:lineRule="auto"/>
        <w:ind w:firstLine="480" w:firstLineChars="200"/>
        <w:jc w:val="both"/>
        <w:rPr>
          <w:rFonts w:ascii="仿宋" w:hAnsi="仿宋" w:eastAsia="仿宋" w:cs="仿宋"/>
        </w:rPr>
      </w:pPr>
      <w:r>
        <w:rPr>
          <w:rFonts w:ascii="仿宋" w:hAnsi="仿宋" w:eastAsia="仿宋" w:cs="仿宋"/>
        </w:rPr>
        <w:t>第</w:t>
      </w:r>
      <w:r>
        <w:rPr>
          <w:rFonts w:hint="eastAsia" w:ascii="仿宋" w:hAnsi="仿宋" w:eastAsia="仿宋" w:cs="仿宋"/>
        </w:rPr>
        <w:t>十三</w:t>
      </w:r>
      <w:r>
        <w:rPr>
          <w:rFonts w:ascii="仿宋" w:hAnsi="仿宋" w:eastAsia="仿宋" w:cs="仿宋"/>
        </w:rPr>
        <w:t>条</w:t>
      </w:r>
      <w:r>
        <w:rPr>
          <w:rFonts w:hint="eastAsia" w:ascii="仿宋" w:hAnsi="仿宋" w:eastAsia="仿宋" w:cs="仿宋"/>
        </w:rPr>
        <w:t xml:space="preserve">  </w:t>
      </w:r>
      <w:r>
        <w:rPr>
          <w:rFonts w:hint="eastAsia" w:ascii="仿宋" w:hAnsi="仿宋" w:eastAsia="仿宋" w:cs="仿宋"/>
          <w:color w:val="000000"/>
        </w:rPr>
        <w:t>退役军人按省教育厅、省民政厅、省财政厅印发的《关于组织开展退役士兵单独招生免费教育试点工作的通知》（鲁教学字〔2017〕12号）规定执行，所需资金由省财政按每生每年10000元标准和学生数核定下达有关高职院校。</w:t>
      </w:r>
    </w:p>
    <w:p>
      <w:pPr>
        <w:pStyle w:val="5"/>
        <w:widowControl/>
        <w:spacing w:beforeAutospacing="0" w:afterAutospacing="0" w:line="360" w:lineRule="auto"/>
        <w:ind w:firstLine="480" w:firstLineChars="200"/>
        <w:jc w:val="both"/>
        <w:rPr>
          <w:rFonts w:ascii="仿宋" w:hAnsi="仿宋" w:eastAsia="仿宋" w:cs="仿宋"/>
        </w:rPr>
      </w:pPr>
      <w:r>
        <w:rPr>
          <w:rFonts w:ascii="仿宋" w:hAnsi="仿宋" w:eastAsia="仿宋" w:cs="仿宋"/>
        </w:rPr>
        <w:t>第</w:t>
      </w:r>
      <w:r>
        <w:rPr>
          <w:rFonts w:hint="eastAsia" w:ascii="仿宋" w:hAnsi="仿宋" w:eastAsia="仿宋" w:cs="仿宋"/>
        </w:rPr>
        <w:t>十四</w:t>
      </w:r>
      <w:r>
        <w:rPr>
          <w:rFonts w:ascii="仿宋" w:hAnsi="仿宋" w:eastAsia="仿宋" w:cs="仿宋"/>
        </w:rPr>
        <w:t>条</w:t>
      </w:r>
      <w:r>
        <w:rPr>
          <w:rFonts w:hint="eastAsia" w:ascii="仿宋" w:hAnsi="仿宋" w:eastAsia="仿宋" w:cs="仿宋"/>
        </w:rPr>
        <w:t xml:space="preserve">  </w:t>
      </w:r>
      <w:r>
        <w:rPr>
          <w:rFonts w:ascii="仿宋" w:hAnsi="仿宋" w:eastAsia="仿宋" w:cs="仿宋"/>
        </w:rPr>
        <w:t>学院实行奖学金制度，具体情况如下：</w:t>
      </w:r>
    </w:p>
    <w:p>
      <w:pPr>
        <w:pStyle w:val="5"/>
        <w:widowControl/>
        <w:spacing w:beforeAutospacing="0" w:afterAutospacing="0" w:line="360" w:lineRule="auto"/>
        <w:ind w:firstLine="480" w:firstLineChars="200"/>
        <w:jc w:val="both"/>
        <w:rPr>
          <w:rFonts w:ascii="仿宋" w:hAnsi="仿宋" w:eastAsia="仿宋" w:cs="仿宋"/>
        </w:rPr>
      </w:pPr>
      <w:r>
        <w:rPr>
          <w:rFonts w:ascii="仿宋" w:hAnsi="仿宋" w:eastAsia="仿宋" w:cs="仿宋"/>
        </w:rPr>
        <w:t>1、政府奖学金：（1）国家奖学金每学年8000元/人；（2）国家励志奖学金，每学年5000元/人；（3）山东省政府奖学金每学年6000元/人；（4）山东省政府励志奖学金每学年5000元/人。</w:t>
      </w:r>
    </w:p>
    <w:p>
      <w:pPr>
        <w:pStyle w:val="5"/>
        <w:widowControl/>
        <w:spacing w:beforeAutospacing="0" w:afterAutospacing="0" w:line="360" w:lineRule="auto"/>
        <w:ind w:firstLine="480" w:firstLineChars="200"/>
        <w:jc w:val="both"/>
        <w:rPr>
          <w:rFonts w:ascii="仿宋" w:hAnsi="仿宋" w:eastAsia="仿宋" w:cs="仿宋"/>
        </w:rPr>
      </w:pPr>
      <w:r>
        <w:rPr>
          <w:rFonts w:ascii="仿宋" w:hAnsi="仿宋" w:eastAsia="仿宋" w:cs="仿宋"/>
        </w:rPr>
        <w:t>2、学院奖学金：学院奖学金分一等、二等、三等和院长奖学金。</w:t>
      </w:r>
    </w:p>
    <w:p>
      <w:pPr>
        <w:pStyle w:val="5"/>
        <w:widowControl/>
        <w:spacing w:beforeAutospacing="0" w:afterAutospacing="0" w:line="360" w:lineRule="auto"/>
        <w:ind w:firstLine="480" w:firstLineChars="200"/>
        <w:jc w:val="both"/>
        <w:rPr>
          <w:rFonts w:ascii="仿宋" w:hAnsi="仿宋" w:eastAsia="仿宋" w:cs="仿宋"/>
        </w:rPr>
      </w:pPr>
      <w:r>
        <w:rPr>
          <w:rFonts w:ascii="仿宋" w:hAnsi="仿宋" w:eastAsia="仿宋" w:cs="仿宋"/>
        </w:rPr>
        <w:t>3、企业奖学金：分一等、二等、三等。 </w:t>
      </w:r>
    </w:p>
    <w:p>
      <w:pPr>
        <w:pStyle w:val="5"/>
        <w:widowControl/>
        <w:spacing w:beforeAutospacing="0" w:afterAutospacing="0" w:line="360" w:lineRule="auto"/>
        <w:ind w:firstLine="480" w:firstLineChars="200"/>
        <w:jc w:val="both"/>
        <w:rPr>
          <w:rFonts w:ascii="仿宋" w:hAnsi="仿宋" w:eastAsia="仿宋" w:cs="仿宋"/>
        </w:rPr>
      </w:pPr>
      <w:r>
        <w:rPr>
          <w:rFonts w:hint="eastAsia" w:ascii="仿宋" w:hAnsi="仿宋" w:eastAsia="仿宋" w:cs="仿宋"/>
        </w:rPr>
        <w:t xml:space="preserve">第十五条  </w:t>
      </w:r>
      <w:r>
        <w:rPr>
          <w:rFonts w:ascii="仿宋" w:hAnsi="仿宋" w:eastAsia="仿宋" w:cs="仿宋"/>
        </w:rPr>
        <w:t>学院实行助学政策帮助学生完成学业</w:t>
      </w:r>
    </w:p>
    <w:p>
      <w:pPr>
        <w:pStyle w:val="5"/>
        <w:widowControl/>
        <w:spacing w:beforeAutospacing="0" w:afterAutospacing="0" w:line="360" w:lineRule="auto"/>
        <w:ind w:firstLine="480" w:firstLineChars="200"/>
        <w:jc w:val="both"/>
        <w:rPr>
          <w:rFonts w:ascii="仿宋" w:hAnsi="仿宋" w:eastAsia="仿宋" w:cs="仿宋"/>
        </w:rPr>
      </w:pPr>
      <w:r>
        <w:rPr>
          <w:rFonts w:ascii="仿宋" w:hAnsi="仿宋" w:eastAsia="仿宋" w:cs="仿宋"/>
        </w:rPr>
        <w:t>1、国家助学金，每人每学年2000—4000元。</w:t>
      </w:r>
    </w:p>
    <w:p>
      <w:pPr>
        <w:pStyle w:val="5"/>
        <w:widowControl/>
        <w:spacing w:beforeAutospacing="0" w:afterAutospacing="0" w:line="360" w:lineRule="auto"/>
        <w:ind w:firstLine="480" w:firstLineChars="200"/>
        <w:jc w:val="both"/>
        <w:rPr>
          <w:rFonts w:ascii="仿宋" w:hAnsi="仿宋" w:eastAsia="仿宋" w:cs="仿宋"/>
        </w:rPr>
      </w:pPr>
      <w:r>
        <w:rPr>
          <w:rFonts w:ascii="仿宋" w:hAnsi="仿宋" w:eastAsia="仿宋" w:cs="仿宋"/>
        </w:rPr>
        <w:t>2、学院为特困且品学兼优的学生设立爱心救助基金，设立部分勤工助学岗位，为贫困生提供帮助。</w:t>
      </w:r>
    </w:p>
    <w:p>
      <w:pPr>
        <w:pStyle w:val="5"/>
        <w:widowControl/>
        <w:spacing w:beforeAutospacing="0" w:afterAutospacing="0" w:line="360" w:lineRule="auto"/>
        <w:ind w:firstLine="480" w:firstLineChars="200"/>
        <w:jc w:val="both"/>
        <w:rPr>
          <w:rFonts w:ascii="仿宋" w:hAnsi="仿宋" w:eastAsia="仿宋" w:cs="仿宋"/>
        </w:rPr>
      </w:pPr>
      <w:r>
        <w:rPr>
          <w:rFonts w:ascii="仿宋" w:hAnsi="仿宋" w:eastAsia="仿宋" w:cs="仿宋"/>
        </w:rPr>
        <w:t>3、困难学生可申请生源地信用助学贷款。</w:t>
      </w:r>
    </w:p>
    <w:p>
      <w:pPr>
        <w:pStyle w:val="5"/>
        <w:widowControl/>
        <w:spacing w:beforeAutospacing="0" w:afterAutospacing="0" w:line="360" w:lineRule="auto"/>
        <w:ind w:firstLine="480" w:firstLineChars="200"/>
        <w:jc w:val="both"/>
        <w:rPr>
          <w:rFonts w:ascii="仿宋" w:hAnsi="仿宋" w:eastAsia="仿宋" w:cs="仿宋"/>
        </w:rPr>
      </w:pPr>
      <w:r>
        <w:rPr>
          <w:rFonts w:ascii="仿宋" w:hAnsi="仿宋" w:eastAsia="仿宋" w:cs="仿宋"/>
        </w:rPr>
        <w:t>4、学院“电子商务和物联网应用技术”两专业的学生可申请京东E计划勤工助学岗位。</w:t>
      </w:r>
    </w:p>
    <w:p>
      <w:pPr>
        <w:pStyle w:val="5"/>
        <w:widowControl/>
        <w:spacing w:beforeAutospacing="0" w:afterAutospacing="0" w:line="360" w:lineRule="auto"/>
        <w:ind w:firstLine="480" w:firstLineChars="200"/>
        <w:jc w:val="both"/>
        <w:rPr>
          <w:rFonts w:ascii="仿宋" w:hAnsi="仿宋" w:eastAsia="仿宋" w:cs="仿宋"/>
        </w:rPr>
      </w:pPr>
      <w:r>
        <w:rPr>
          <w:rFonts w:ascii="仿宋" w:hAnsi="仿宋" w:eastAsia="仿宋" w:cs="仿宋"/>
        </w:rPr>
        <w:t>第</w:t>
      </w:r>
      <w:r>
        <w:rPr>
          <w:rFonts w:hint="eastAsia" w:ascii="仿宋" w:hAnsi="仿宋" w:eastAsia="仿宋" w:cs="仿宋"/>
        </w:rPr>
        <w:t>十六</w:t>
      </w:r>
      <w:r>
        <w:rPr>
          <w:rFonts w:ascii="仿宋" w:hAnsi="仿宋" w:eastAsia="仿宋" w:cs="仿宋"/>
        </w:rPr>
        <w:t>条</w:t>
      </w:r>
      <w:r>
        <w:rPr>
          <w:rFonts w:ascii="Calibri" w:hAnsi="Calibri" w:eastAsia="仿宋" w:cs="Calibri"/>
        </w:rPr>
        <w:t xml:space="preserve">  </w:t>
      </w:r>
      <w:r>
        <w:rPr>
          <w:rFonts w:ascii="仿宋" w:hAnsi="仿宋" w:eastAsia="仿宋" w:cs="仿宋"/>
        </w:rPr>
        <w:t>颁发学历证书的学院名称及证书种类：山东海事职业学院；普通高等教育专科学历证书。</w:t>
      </w:r>
    </w:p>
    <w:p>
      <w:pPr>
        <w:pStyle w:val="5"/>
        <w:widowControl/>
        <w:spacing w:beforeAutospacing="0" w:afterAutospacing="0" w:line="360" w:lineRule="auto"/>
        <w:ind w:firstLine="480" w:firstLineChars="200"/>
        <w:jc w:val="both"/>
        <w:rPr>
          <w:rFonts w:ascii="仿宋" w:hAnsi="仿宋" w:eastAsia="仿宋" w:cs="仿宋"/>
        </w:rPr>
      </w:pPr>
      <w:r>
        <w:rPr>
          <w:rFonts w:ascii="仿宋" w:hAnsi="仿宋" w:eastAsia="仿宋" w:cs="仿宋"/>
        </w:rPr>
        <w:t>第</w:t>
      </w:r>
      <w:r>
        <w:rPr>
          <w:rFonts w:hint="eastAsia" w:ascii="仿宋" w:hAnsi="仿宋" w:eastAsia="仿宋" w:cs="仿宋"/>
        </w:rPr>
        <w:t>十七</w:t>
      </w:r>
      <w:r>
        <w:rPr>
          <w:rFonts w:ascii="仿宋" w:hAnsi="仿宋" w:eastAsia="仿宋" w:cs="仿宋"/>
        </w:rPr>
        <w:t>条 学院不委托任何机构和个人办理招生相关事宜。对以“山东海事职业学院”名义进行非法招生宣传等活动的机构或个人，学院保留依法追究其责任的权利。</w:t>
      </w:r>
    </w:p>
    <w:p>
      <w:pPr>
        <w:pStyle w:val="5"/>
        <w:widowControl/>
        <w:spacing w:beforeAutospacing="0" w:afterAutospacing="0" w:line="360" w:lineRule="auto"/>
        <w:ind w:firstLine="480" w:firstLineChars="200"/>
        <w:jc w:val="both"/>
        <w:rPr>
          <w:rFonts w:ascii="仿宋" w:hAnsi="仿宋" w:eastAsia="仿宋" w:cs="仿宋"/>
        </w:rPr>
      </w:pPr>
      <w:r>
        <w:rPr>
          <w:rFonts w:ascii="仿宋" w:hAnsi="仿宋" w:eastAsia="仿宋" w:cs="仿宋"/>
        </w:rPr>
        <w:t>第</w:t>
      </w:r>
      <w:r>
        <w:rPr>
          <w:rFonts w:hint="eastAsia" w:ascii="仿宋" w:hAnsi="仿宋" w:eastAsia="仿宋" w:cs="仿宋"/>
        </w:rPr>
        <w:t>十八</w:t>
      </w:r>
      <w:r>
        <w:rPr>
          <w:rFonts w:ascii="仿宋" w:hAnsi="仿宋" w:eastAsia="仿宋" w:cs="仿宋"/>
        </w:rPr>
        <w:t>条 本章程若有与上级有关政策不一致之处，以国家和上级有关政策为准。未尽事宜，按上级有关规定执行。</w:t>
      </w:r>
    </w:p>
    <w:p>
      <w:pPr>
        <w:pStyle w:val="5"/>
        <w:widowControl/>
        <w:spacing w:beforeAutospacing="0" w:afterAutospacing="0" w:line="360" w:lineRule="auto"/>
        <w:ind w:firstLine="480" w:firstLineChars="200"/>
        <w:jc w:val="both"/>
        <w:rPr>
          <w:rFonts w:ascii="仿宋" w:hAnsi="仿宋" w:eastAsia="仿宋" w:cs="仿宋"/>
        </w:rPr>
      </w:pPr>
      <w:r>
        <w:rPr>
          <w:rFonts w:ascii="仿宋" w:hAnsi="仿宋" w:eastAsia="仿宋" w:cs="仿宋"/>
        </w:rPr>
        <w:t>第</w:t>
      </w:r>
      <w:r>
        <w:rPr>
          <w:rFonts w:hint="eastAsia" w:ascii="仿宋" w:hAnsi="仿宋" w:eastAsia="仿宋" w:cs="仿宋"/>
        </w:rPr>
        <w:t>十九</w:t>
      </w:r>
      <w:r>
        <w:rPr>
          <w:rFonts w:ascii="仿宋" w:hAnsi="仿宋" w:eastAsia="仿宋" w:cs="仿宋"/>
        </w:rPr>
        <w:t>条 本章程由山东海事职业学院负责解释。</w:t>
      </w:r>
    </w:p>
    <w:p>
      <w:pPr>
        <w:pStyle w:val="5"/>
        <w:widowControl/>
        <w:spacing w:beforeAutospacing="0" w:afterAutospacing="0" w:line="360" w:lineRule="auto"/>
        <w:ind w:firstLine="480" w:firstLineChars="200"/>
        <w:jc w:val="both"/>
        <w:rPr>
          <w:rFonts w:ascii="仿宋" w:hAnsi="仿宋" w:eastAsia="仿宋" w:cs="仿宋"/>
          <w:color w:val="000000"/>
        </w:rPr>
      </w:pPr>
      <w:r>
        <w:rPr>
          <w:rFonts w:ascii="仿宋" w:hAnsi="仿宋" w:eastAsia="仿宋" w:cs="仿宋"/>
          <w:color w:val="000000"/>
        </w:rPr>
        <w:t>招生电话：0536-5128998 ，5128996 </w:t>
      </w:r>
    </w:p>
    <w:p>
      <w:pPr>
        <w:pStyle w:val="5"/>
        <w:widowControl/>
        <w:spacing w:beforeAutospacing="0" w:afterAutospacing="0" w:line="360" w:lineRule="auto"/>
        <w:ind w:firstLine="480" w:firstLineChars="200"/>
        <w:jc w:val="both"/>
        <w:rPr>
          <w:rFonts w:ascii="仿宋" w:hAnsi="仿宋" w:eastAsia="仿宋" w:cs="仿宋"/>
          <w:color w:val="000000"/>
        </w:rPr>
      </w:pPr>
      <w:r>
        <w:rPr>
          <w:rFonts w:ascii="仿宋" w:hAnsi="仿宋" w:eastAsia="仿宋" w:cs="仿宋"/>
          <w:color w:val="000000"/>
        </w:rPr>
        <w:t>网　　址：www.sdm.net.cn</w:t>
      </w:r>
    </w:p>
    <w:p>
      <w:pPr>
        <w:pStyle w:val="5"/>
        <w:widowControl/>
        <w:spacing w:beforeAutospacing="0" w:afterAutospacing="0" w:line="360" w:lineRule="auto"/>
        <w:ind w:firstLine="480" w:firstLineChars="200"/>
        <w:jc w:val="both"/>
        <w:rPr>
          <w:rFonts w:ascii="仿宋" w:hAnsi="仿宋" w:eastAsia="仿宋" w:cs="仿宋"/>
          <w:color w:val="000000"/>
        </w:rPr>
      </w:pPr>
      <w:r>
        <w:rPr>
          <w:rFonts w:ascii="仿宋" w:hAnsi="仿宋" w:eastAsia="仿宋" w:cs="仿宋"/>
          <w:color w:val="000000"/>
        </w:rPr>
        <w:t>电子邮箱：</w:t>
      </w:r>
      <w:r>
        <w:fldChar w:fldCharType="begin"/>
      </w:r>
      <w:r>
        <w:instrText xml:space="preserve"> HYPERLINK "mailto:shandonghaishi@163.com" </w:instrText>
      </w:r>
      <w:r>
        <w:fldChar w:fldCharType="separate"/>
      </w:r>
      <w:r>
        <w:rPr>
          <w:rFonts w:ascii="仿宋" w:hAnsi="仿宋" w:eastAsia="仿宋" w:cs="仿宋"/>
          <w:color w:val="000000"/>
        </w:rPr>
        <w:t>shandonghaishi@163.com</w:t>
      </w:r>
      <w:r>
        <w:rPr>
          <w:rFonts w:ascii="仿宋" w:hAnsi="仿宋" w:eastAsia="仿宋" w:cs="仿宋"/>
          <w:color w:val="000000"/>
        </w:rPr>
        <w:fldChar w:fldCharType="end"/>
      </w:r>
    </w:p>
    <w:p>
      <w:pPr>
        <w:pStyle w:val="5"/>
        <w:widowControl/>
        <w:spacing w:beforeAutospacing="0" w:afterAutospacing="0" w:line="360" w:lineRule="auto"/>
        <w:ind w:firstLine="480" w:firstLineChars="200"/>
        <w:jc w:val="both"/>
        <w:rPr>
          <w:rFonts w:ascii="仿宋" w:hAnsi="仿宋" w:eastAsia="仿宋" w:cs="仿宋"/>
          <w:color w:val="000000"/>
        </w:rPr>
      </w:pPr>
      <w:r>
        <w:rPr>
          <w:rFonts w:ascii="仿宋" w:hAnsi="仿宋" w:eastAsia="仿宋" w:cs="仿宋"/>
          <w:color w:val="000000"/>
        </w:rPr>
        <w:t>通讯地址：山东省潍坊市滨海科教创新园区智慧南二街1000号山东海事职业学院。</w:t>
      </w:r>
    </w:p>
    <w:p>
      <w:pPr>
        <w:pStyle w:val="5"/>
        <w:widowControl/>
        <w:spacing w:beforeAutospacing="0" w:afterAutospacing="0" w:line="360" w:lineRule="auto"/>
        <w:jc w:val="both"/>
        <w:rPr>
          <w:rFonts w:ascii="仿宋" w:hAnsi="仿宋" w:eastAsia="仿宋" w:cs="仿宋"/>
          <w:color w:val="00000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1A34CC"/>
    <w:rsid w:val="000429D3"/>
    <w:rsid w:val="000569F7"/>
    <w:rsid w:val="00072D01"/>
    <w:rsid w:val="00517D95"/>
    <w:rsid w:val="00744088"/>
    <w:rsid w:val="00944BD5"/>
    <w:rsid w:val="009C78C7"/>
    <w:rsid w:val="00A12CA9"/>
    <w:rsid w:val="00AA4A91"/>
    <w:rsid w:val="00AF2CC0"/>
    <w:rsid w:val="00DF1E2E"/>
    <w:rsid w:val="00F55DB2"/>
    <w:rsid w:val="01EC747B"/>
    <w:rsid w:val="029B719F"/>
    <w:rsid w:val="038232F2"/>
    <w:rsid w:val="0A120558"/>
    <w:rsid w:val="0A3E472D"/>
    <w:rsid w:val="17675818"/>
    <w:rsid w:val="19E16FFD"/>
    <w:rsid w:val="23244833"/>
    <w:rsid w:val="2382037E"/>
    <w:rsid w:val="27E64696"/>
    <w:rsid w:val="2B857395"/>
    <w:rsid w:val="2D246C90"/>
    <w:rsid w:val="2D980AB0"/>
    <w:rsid w:val="2E500C2E"/>
    <w:rsid w:val="2F413360"/>
    <w:rsid w:val="32E8124B"/>
    <w:rsid w:val="36E1514F"/>
    <w:rsid w:val="37D0602C"/>
    <w:rsid w:val="39D40CEA"/>
    <w:rsid w:val="3F3E7B0E"/>
    <w:rsid w:val="3F4C10F3"/>
    <w:rsid w:val="4E4766A8"/>
    <w:rsid w:val="4FD169B8"/>
    <w:rsid w:val="5099461D"/>
    <w:rsid w:val="51B0686B"/>
    <w:rsid w:val="51D36DAA"/>
    <w:rsid w:val="551A34CC"/>
    <w:rsid w:val="58C209E1"/>
    <w:rsid w:val="59EB4EEB"/>
    <w:rsid w:val="5D3603B9"/>
    <w:rsid w:val="614671B9"/>
    <w:rsid w:val="61961714"/>
    <w:rsid w:val="6C302BD9"/>
    <w:rsid w:val="6F951CCF"/>
    <w:rsid w:val="781D36CE"/>
    <w:rsid w:val="7C345C79"/>
    <w:rsid w:val="7CCA79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0"/>
    <w:qFormat/>
    <w:uiPriority w:val="0"/>
    <w:pPr>
      <w:keepNext/>
      <w:keepLines/>
      <w:spacing w:before="340" w:after="330" w:line="576" w:lineRule="auto"/>
      <w:outlineLvl w:val="0"/>
    </w:pPr>
    <w:rPr>
      <w:b/>
      <w:kern w:val="44"/>
      <w:sz w:val="28"/>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3">
    <w:name w:val="footer"/>
    <w:basedOn w:val="1"/>
    <w:link w:val="12"/>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Hyperlink"/>
    <w:basedOn w:val="7"/>
    <w:qFormat/>
    <w:uiPriority w:val="0"/>
    <w:rPr>
      <w:color w:val="0000FF"/>
      <w:u w:val="single"/>
    </w:rPr>
  </w:style>
  <w:style w:type="character" w:customStyle="1" w:styleId="10">
    <w:name w:val="标题 1 字符"/>
    <w:link w:val="2"/>
    <w:qFormat/>
    <w:uiPriority w:val="0"/>
    <w:rPr>
      <w:rFonts w:eastAsiaTheme="minorEastAsia"/>
      <w:b/>
      <w:kern w:val="44"/>
      <w:sz w:val="28"/>
    </w:rPr>
  </w:style>
  <w:style w:type="character" w:customStyle="1" w:styleId="11">
    <w:name w:val="页眉 字符"/>
    <w:basedOn w:val="7"/>
    <w:link w:val="4"/>
    <w:qFormat/>
    <w:uiPriority w:val="0"/>
    <w:rPr>
      <w:rFonts w:asciiTheme="minorHAnsi" w:hAnsiTheme="minorHAnsi" w:eastAsiaTheme="minorEastAsia" w:cstheme="minorBidi"/>
      <w:kern w:val="2"/>
      <w:sz w:val="18"/>
      <w:szCs w:val="18"/>
    </w:rPr>
  </w:style>
  <w:style w:type="character" w:customStyle="1" w:styleId="12">
    <w:name w:val="页脚 字符"/>
    <w:basedOn w:val="7"/>
    <w:link w:val="3"/>
    <w:qFormat/>
    <w:uiPriority w:val="0"/>
    <w:rPr>
      <w:rFonts w:asciiTheme="minorHAnsi" w:hAnsiTheme="minorHAnsi" w:eastAsiaTheme="minorEastAsia" w:cstheme="minorBidi"/>
      <w:kern w:val="2"/>
      <w:sz w:val="18"/>
      <w:szCs w:val="18"/>
    </w:rPr>
  </w:style>
  <w:style w:type="character" w:customStyle="1" w:styleId="13">
    <w:name w:val="apple-converted-space"/>
    <w:basedOn w:val="7"/>
    <w:qFormat/>
    <w:uiPriority w:val="0"/>
  </w:style>
  <w:style w:type="character" w:customStyle="1" w:styleId="14">
    <w:name w:val="title-font1"/>
    <w:qFormat/>
    <w:uiPriority w:val="0"/>
    <w:rPr>
      <w:b/>
      <w:bCs/>
      <w:color w:val="134F99"/>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Pages>
  <Words>470</Words>
  <Characters>2684</Characters>
  <Lines>22</Lines>
  <Paragraphs>6</Paragraphs>
  <TotalTime>0</TotalTime>
  <ScaleCrop>false</ScaleCrop>
  <LinksUpToDate>false</LinksUpToDate>
  <CharactersWithSpaces>3148</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2019-07-18T02:47:00Z</dcterms:created>
  <dc:creator>小吐吐</dc:creator>
  <cp:lastModifiedBy>Administrator</cp:lastModifiedBy>
  <dcterms:modified xsi:type="dcterms:W3CDTF">2019-07-28T16:15:19Z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