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20" w:rsidRDefault="00545420" w:rsidP="00545420">
      <w:pPr>
        <w:ind w:right="160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附件3</w:t>
      </w:r>
    </w:p>
    <w:p w:rsidR="00545420" w:rsidRDefault="00545420" w:rsidP="00545420">
      <w:pPr>
        <w:ind w:right="160"/>
        <w:jc w:val="left"/>
        <w:rPr>
          <w:rFonts w:ascii="黑体" w:eastAsia="黑体" w:hAnsi="黑体" w:cs="仿宋_GB2312" w:hint="eastAsia"/>
          <w:sz w:val="32"/>
          <w:szCs w:val="32"/>
        </w:rPr>
      </w:pPr>
    </w:p>
    <w:p w:rsidR="00545420" w:rsidRDefault="00545420" w:rsidP="00545420">
      <w:pPr>
        <w:snapToGrid w:val="0"/>
        <w:spacing w:line="580" w:lineRule="exact"/>
        <w:jc w:val="center"/>
        <w:rPr>
          <w:rFonts w:ascii="方正小标宋简体" w:eastAsia="方正小标宋简体" w:hAnsi="黑体" w:hint="eastAsia"/>
          <w:spacing w:val="-4"/>
          <w:sz w:val="44"/>
          <w:szCs w:val="44"/>
        </w:rPr>
      </w:pPr>
      <w:r>
        <w:rPr>
          <w:rFonts w:ascii="方正小标宋简体" w:eastAsia="方正小标宋简体" w:hAnsi="黑体" w:hint="eastAsia"/>
          <w:spacing w:val="-4"/>
          <w:sz w:val="44"/>
          <w:szCs w:val="44"/>
        </w:rPr>
        <w:t>山东省中等职业教育特色化专业建设方案</w:t>
      </w:r>
    </w:p>
    <w:p w:rsidR="00545420" w:rsidRDefault="00545420" w:rsidP="00545420">
      <w:pPr>
        <w:snapToGrid w:val="0"/>
        <w:spacing w:line="580" w:lineRule="exact"/>
        <w:jc w:val="center"/>
        <w:rPr>
          <w:rFonts w:ascii="方正小标宋简体" w:eastAsia="方正小标宋简体" w:hAnsi="黑体" w:hint="eastAsia"/>
          <w:spacing w:val="-4"/>
          <w:sz w:val="44"/>
          <w:szCs w:val="44"/>
        </w:rPr>
      </w:pPr>
      <w:r>
        <w:rPr>
          <w:rFonts w:ascii="方正小标宋简体" w:eastAsia="方正小标宋简体" w:hAnsi="黑体" w:hint="eastAsia"/>
          <w:spacing w:val="-4"/>
          <w:sz w:val="44"/>
          <w:szCs w:val="44"/>
        </w:rPr>
        <w:t>编写说明</w:t>
      </w:r>
    </w:p>
    <w:p w:rsidR="00545420" w:rsidRDefault="00545420" w:rsidP="00545420">
      <w:pPr>
        <w:snapToGrid w:val="0"/>
        <w:spacing w:line="580" w:lineRule="exact"/>
        <w:jc w:val="left"/>
        <w:rPr>
          <w:rFonts w:ascii="黑体" w:eastAsia="黑体" w:hAnsi="黑体" w:hint="eastAsia"/>
          <w:spacing w:val="-4"/>
          <w:sz w:val="32"/>
          <w:szCs w:val="32"/>
        </w:rPr>
      </w:pPr>
    </w:p>
    <w:p w:rsidR="00545420" w:rsidRDefault="00545420" w:rsidP="00545420">
      <w:pPr>
        <w:spacing w:line="600" w:lineRule="exact"/>
        <w:ind w:firstLineChars="200" w:firstLine="624"/>
        <w:jc w:val="left"/>
        <w:rPr>
          <w:rFonts w:ascii="黑体" w:eastAsia="黑体" w:hAnsi="黑体" w:cs="黑体" w:hint="eastAsia"/>
          <w:bCs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一、建设基础</w:t>
      </w:r>
    </w:p>
    <w:p w:rsidR="00545420" w:rsidRDefault="00545420" w:rsidP="00545420">
      <w:pPr>
        <w:spacing w:line="600" w:lineRule="exact"/>
        <w:ind w:firstLineChars="200" w:firstLine="624"/>
        <w:rPr>
          <w:rFonts w:ascii="仿宋_GB2312" w:eastAsia="仿宋_GB2312" w:hAnsi="Calibri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专业人才培养条件（基本办学条件、师资队伍、教学条件等），人才培养质量，校企合作经验与成效，办学优势与特色等。</w:t>
      </w:r>
    </w:p>
    <w:p w:rsidR="00545420" w:rsidRDefault="00545420" w:rsidP="00545420">
      <w:pPr>
        <w:spacing w:line="600" w:lineRule="exact"/>
        <w:ind w:firstLineChars="200" w:firstLine="624"/>
        <w:jc w:val="left"/>
        <w:rPr>
          <w:rFonts w:ascii="黑体" w:eastAsia="黑体" w:hAnsi="黑体" w:cs="黑体" w:hint="eastAsia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二、建设目标与思路</w:t>
      </w:r>
    </w:p>
    <w:p w:rsidR="00545420" w:rsidRDefault="00545420" w:rsidP="00545420">
      <w:pPr>
        <w:spacing w:line="600" w:lineRule="exact"/>
        <w:ind w:firstLineChars="200" w:firstLine="624"/>
        <w:rPr>
          <w:rFonts w:ascii="仿宋_GB2312" w:eastAsia="仿宋_GB2312" w:hAnsi="Calibri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认真研究近年来国家和我省职业教育改革发展相关文件要求，明确专业建设的关键问题和重点内容，确定建设总体目标和发展思路。建设目标应包括不少于10项市级及以上的标志性成果。</w:t>
      </w:r>
    </w:p>
    <w:p w:rsidR="00545420" w:rsidRDefault="00545420" w:rsidP="00545420">
      <w:pPr>
        <w:spacing w:line="600" w:lineRule="exact"/>
        <w:ind w:firstLineChars="200" w:firstLine="624"/>
        <w:jc w:val="left"/>
        <w:rPr>
          <w:rFonts w:ascii="黑体" w:eastAsia="黑体" w:hAnsi="黑体" w:cs="黑体" w:hint="eastAsia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三、建设内容</w:t>
      </w:r>
    </w:p>
    <w:p w:rsidR="00545420" w:rsidRPr="00B81CCE" w:rsidRDefault="00545420" w:rsidP="00545420">
      <w:pPr>
        <w:spacing w:line="600" w:lineRule="exact"/>
        <w:ind w:firstLineChars="200" w:firstLine="624"/>
        <w:rPr>
          <w:rFonts w:ascii="楷体_GB2312" w:eastAsia="楷体_GB2312" w:hAnsi="楷体_GB2312" w:cs="楷体_GB2312" w:hint="eastAsia"/>
          <w:spacing w:val="-4"/>
          <w:sz w:val="32"/>
          <w:szCs w:val="32"/>
        </w:rPr>
      </w:pPr>
      <w:r w:rsidRPr="00B81CCE">
        <w:rPr>
          <w:rFonts w:ascii="楷体_GB2312" w:eastAsia="楷体_GB2312" w:hAnsi="楷体_GB2312" w:cs="楷体_GB2312" w:hint="eastAsia"/>
          <w:spacing w:val="-4"/>
          <w:sz w:val="32"/>
          <w:szCs w:val="32"/>
        </w:rPr>
        <w:t>（一）人才培养模式改革</w:t>
      </w:r>
    </w:p>
    <w:p w:rsidR="00545420" w:rsidRPr="00B81CCE" w:rsidRDefault="00545420" w:rsidP="00545420">
      <w:pPr>
        <w:spacing w:line="600" w:lineRule="exact"/>
        <w:ind w:firstLineChars="200" w:firstLine="624"/>
        <w:rPr>
          <w:rFonts w:ascii="楷体_GB2312" w:eastAsia="楷体_GB2312" w:hAnsi="楷体_GB2312" w:cs="楷体_GB2312" w:hint="eastAsia"/>
          <w:spacing w:val="-4"/>
          <w:sz w:val="32"/>
          <w:szCs w:val="32"/>
        </w:rPr>
      </w:pPr>
      <w:r w:rsidRPr="00B81CCE">
        <w:rPr>
          <w:rFonts w:ascii="楷体_GB2312" w:eastAsia="楷体_GB2312" w:hAnsi="楷体_GB2312" w:cs="楷体_GB2312" w:hint="eastAsia"/>
          <w:spacing w:val="-4"/>
          <w:sz w:val="32"/>
          <w:szCs w:val="32"/>
        </w:rPr>
        <w:t>（二）课程体系建设</w:t>
      </w:r>
    </w:p>
    <w:p w:rsidR="00545420" w:rsidRPr="00B81CCE" w:rsidRDefault="00545420" w:rsidP="00545420">
      <w:pPr>
        <w:spacing w:line="600" w:lineRule="exact"/>
        <w:ind w:firstLineChars="200" w:firstLine="624"/>
        <w:rPr>
          <w:rFonts w:ascii="楷体_GB2312" w:eastAsia="楷体_GB2312" w:hAnsi="楷体_GB2312" w:cs="楷体_GB2312" w:hint="eastAsia"/>
          <w:spacing w:val="-4"/>
          <w:sz w:val="32"/>
          <w:szCs w:val="32"/>
        </w:rPr>
      </w:pPr>
      <w:r w:rsidRPr="00B81CCE">
        <w:rPr>
          <w:rFonts w:ascii="楷体_GB2312" w:eastAsia="楷体_GB2312" w:hAnsi="楷体_GB2312" w:cs="楷体_GB2312" w:hint="eastAsia"/>
          <w:spacing w:val="-4"/>
          <w:sz w:val="32"/>
          <w:szCs w:val="32"/>
        </w:rPr>
        <w:t>（三）教学团队建设</w:t>
      </w:r>
    </w:p>
    <w:p w:rsidR="00545420" w:rsidRPr="00B81CCE" w:rsidRDefault="00545420" w:rsidP="00545420">
      <w:pPr>
        <w:spacing w:line="600" w:lineRule="exact"/>
        <w:ind w:firstLineChars="200" w:firstLine="624"/>
        <w:rPr>
          <w:rFonts w:ascii="楷体_GB2312" w:eastAsia="楷体_GB2312" w:hAnsi="楷体_GB2312" w:cs="楷体_GB2312" w:hint="eastAsia"/>
          <w:spacing w:val="-4"/>
          <w:sz w:val="32"/>
          <w:szCs w:val="32"/>
        </w:rPr>
      </w:pPr>
      <w:r w:rsidRPr="00B81CCE">
        <w:rPr>
          <w:rFonts w:ascii="楷体_GB2312" w:eastAsia="楷体_GB2312" w:hAnsi="楷体_GB2312" w:cs="楷体_GB2312" w:hint="eastAsia"/>
          <w:spacing w:val="-4"/>
          <w:sz w:val="32"/>
          <w:szCs w:val="32"/>
        </w:rPr>
        <w:t>（四）教学设施建设</w:t>
      </w:r>
    </w:p>
    <w:p w:rsidR="00545420" w:rsidRPr="00B81CCE" w:rsidRDefault="00545420" w:rsidP="00545420">
      <w:pPr>
        <w:spacing w:line="600" w:lineRule="exact"/>
        <w:ind w:firstLineChars="200" w:firstLine="624"/>
        <w:rPr>
          <w:rFonts w:ascii="楷体_GB2312" w:eastAsia="楷体_GB2312" w:hAnsi="楷体_GB2312" w:cs="楷体_GB2312" w:hint="eastAsia"/>
          <w:spacing w:val="-4"/>
          <w:sz w:val="32"/>
          <w:szCs w:val="32"/>
        </w:rPr>
      </w:pPr>
      <w:r w:rsidRPr="00B81CCE">
        <w:rPr>
          <w:rFonts w:ascii="楷体_GB2312" w:eastAsia="楷体_GB2312" w:hAnsi="楷体_GB2312" w:cs="楷体_GB2312" w:hint="eastAsia"/>
          <w:spacing w:val="-4"/>
          <w:sz w:val="32"/>
          <w:szCs w:val="32"/>
        </w:rPr>
        <w:t>（五）数字化教学资源建设</w:t>
      </w:r>
    </w:p>
    <w:p w:rsidR="00545420" w:rsidRPr="00B81CCE" w:rsidRDefault="00545420" w:rsidP="00545420">
      <w:pPr>
        <w:spacing w:line="600" w:lineRule="exact"/>
        <w:ind w:firstLineChars="200" w:firstLine="624"/>
        <w:rPr>
          <w:rFonts w:ascii="楷体_GB2312" w:eastAsia="楷体_GB2312" w:hAnsi="楷体_GB2312" w:cs="楷体_GB2312" w:hint="eastAsia"/>
          <w:spacing w:val="-4"/>
          <w:sz w:val="32"/>
          <w:szCs w:val="32"/>
        </w:rPr>
      </w:pPr>
      <w:r w:rsidRPr="00B81CCE">
        <w:rPr>
          <w:rFonts w:ascii="楷体_GB2312" w:eastAsia="楷体_GB2312" w:hAnsi="楷体_GB2312" w:cs="楷体_GB2312" w:hint="eastAsia"/>
          <w:spacing w:val="-4"/>
          <w:sz w:val="32"/>
          <w:szCs w:val="32"/>
        </w:rPr>
        <w:t>（六）服务能力和水平提升</w:t>
      </w:r>
    </w:p>
    <w:p w:rsidR="00545420" w:rsidRPr="00B81CCE" w:rsidRDefault="00545420" w:rsidP="00545420">
      <w:pPr>
        <w:spacing w:line="600" w:lineRule="exact"/>
        <w:ind w:firstLineChars="200" w:firstLine="624"/>
        <w:rPr>
          <w:rFonts w:ascii="楷体_GB2312" w:eastAsia="楷体_GB2312" w:hAnsi="楷体_GB2312" w:cs="楷体_GB2312" w:hint="eastAsia"/>
          <w:spacing w:val="-4"/>
          <w:sz w:val="32"/>
          <w:szCs w:val="32"/>
        </w:rPr>
      </w:pPr>
      <w:r w:rsidRPr="00B81CCE">
        <w:rPr>
          <w:rFonts w:ascii="楷体_GB2312" w:eastAsia="楷体_GB2312" w:hAnsi="楷体_GB2312" w:cs="楷体_GB2312" w:hint="eastAsia"/>
          <w:spacing w:val="-4"/>
          <w:sz w:val="32"/>
          <w:szCs w:val="32"/>
        </w:rPr>
        <w:t>（七）专业质量效益</w:t>
      </w:r>
    </w:p>
    <w:p w:rsidR="00545420" w:rsidRDefault="00545420" w:rsidP="00545420">
      <w:pPr>
        <w:spacing w:line="60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说明：每项建设内容应当包含具体建设目标与思路，建设内容</w:t>
      </w:r>
      <w:r>
        <w:rPr>
          <w:rFonts w:ascii="仿宋_GB2312" w:eastAsia="仿宋_GB2312" w:hint="eastAsia"/>
          <w:spacing w:val="-4"/>
          <w:sz w:val="32"/>
          <w:szCs w:val="32"/>
        </w:rPr>
        <w:lastRenderedPageBreak/>
        <w:t>与措施，建设经费的预算情况、预期效益等。</w:t>
      </w:r>
    </w:p>
    <w:p w:rsidR="00545420" w:rsidRDefault="00545420" w:rsidP="00545420">
      <w:pPr>
        <w:spacing w:line="600" w:lineRule="exact"/>
        <w:ind w:firstLineChars="200" w:firstLine="624"/>
        <w:jc w:val="left"/>
        <w:rPr>
          <w:rFonts w:ascii="黑体" w:eastAsia="黑体" w:hAnsi="黑体" w:cs="黑体" w:hint="eastAsia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四、建设进度</w:t>
      </w:r>
    </w:p>
    <w:p w:rsidR="00545420" w:rsidRDefault="00545420" w:rsidP="00545420">
      <w:pPr>
        <w:spacing w:line="600" w:lineRule="exact"/>
        <w:ind w:firstLineChars="200" w:firstLine="624"/>
        <w:jc w:val="left"/>
        <w:rPr>
          <w:rFonts w:ascii="黑体" w:eastAsia="黑体" w:hAnsi="黑体" w:cs="黑体" w:hint="eastAsia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五、经费预算</w:t>
      </w:r>
    </w:p>
    <w:p w:rsidR="00545420" w:rsidRDefault="00545420" w:rsidP="00545420">
      <w:pPr>
        <w:spacing w:line="600" w:lineRule="exact"/>
        <w:ind w:firstLineChars="200" w:firstLine="624"/>
        <w:jc w:val="left"/>
        <w:rPr>
          <w:rFonts w:ascii="黑体" w:eastAsia="黑体" w:hAnsi="黑体" w:cs="黑体" w:hint="eastAsia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六、保障措施</w:t>
      </w:r>
    </w:p>
    <w:p w:rsidR="00545420" w:rsidRDefault="00545420" w:rsidP="00545420">
      <w:pPr>
        <w:spacing w:line="600" w:lineRule="exact"/>
        <w:ind w:firstLineChars="200" w:firstLine="624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七、预期效益</w:t>
      </w:r>
    </w:p>
    <w:p w:rsidR="00545420" w:rsidRDefault="00545420" w:rsidP="00545420">
      <w:pPr>
        <w:rPr>
          <w:rFonts w:ascii="Calibri" w:hAnsi="Calibri" w:hint="eastAsia"/>
          <w:szCs w:val="22"/>
        </w:rPr>
      </w:pPr>
    </w:p>
    <w:p w:rsidR="00545420" w:rsidRDefault="00545420" w:rsidP="00545420"/>
    <w:p w:rsidR="00F138B5" w:rsidRPr="00545420" w:rsidRDefault="00F138B5">
      <w:bookmarkStart w:id="0" w:name="_GoBack"/>
      <w:bookmarkEnd w:id="0"/>
    </w:p>
    <w:sectPr w:rsidR="00F138B5" w:rsidRPr="00545420" w:rsidSect="006A0EEE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7D8" w:rsidRDefault="00E777D8" w:rsidP="00545420">
      <w:r>
        <w:separator/>
      </w:r>
    </w:p>
  </w:endnote>
  <w:endnote w:type="continuationSeparator" w:id="0">
    <w:p w:rsidR="00E777D8" w:rsidRDefault="00E777D8" w:rsidP="0054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EE5" w:rsidRDefault="00E777D8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30</w:t>
    </w:r>
    <w:r>
      <w:rPr>
        <w:rStyle w:val="a7"/>
      </w:rPr>
      <w:fldChar w:fldCharType="end"/>
    </w:r>
  </w:p>
  <w:p w:rsidR="00FB6EE5" w:rsidRDefault="00E777D8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EE5" w:rsidRPr="00584E26" w:rsidRDefault="00E777D8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545420"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FB6EE5" w:rsidRDefault="00E777D8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7D8" w:rsidRDefault="00E777D8" w:rsidP="00545420">
      <w:r>
        <w:separator/>
      </w:r>
    </w:p>
  </w:footnote>
  <w:footnote w:type="continuationSeparator" w:id="0">
    <w:p w:rsidR="00E777D8" w:rsidRDefault="00E777D8" w:rsidP="0054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4F"/>
    <w:rsid w:val="00545420"/>
    <w:rsid w:val="00952C4F"/>
    <w:rsid w:val="00E777D8"/>
    <w:rsid w:val="00F1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7627C0-F67B-4279-B108-75185C70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4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4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454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420"/>
    <w:rPr>
      <w:sz w:val="18"/>
      <w:szCs w:val="18"/>
    </w:rPr>
  </w:style>
  <w:style w:type="character" w:styleId="a7">
    <w:name w:val="page number"/>
    <w:basedOn w:val="a0"/>
    <w:rsid w:val="0054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2021-10-15T02:48:00Z</dcterms:created>
  <dcterms:modified xsi:type="dcterms:W3CDTF">2021-10-15T02:48:00Z</dcterms:modified>
</cp:coreProperties>
</file>