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79" w:rsidRPr="00F315A6" w:rsidRDefault="00784D79" w:rsidP="00784D7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315A6">
        <w:rPr>
          <w:rFonts w:ascii="黑体" w:eastAsia="黑体" w:hAnsi="黑体" w:hint="eastAsia"/>
          <w:sz w:val="32"/>
          <w:szCs w:val="32"/>
        </w:rPr>
        <w:t>附件</w:t>
      </w:r>
      <w:r w:rsidRPr="00F315A6">
        <w:rPr>
          <w:rFonts w:ascii="黑体" w:eastAsia="黑体" w:hAnsi="黑体"/>
          <w:sz w:val="32"/>
          <w:szCs w:val="32"/>
        </w:rPr>
        <w:t>2</w:t>
      </w:r>
    </w:p>
    <w:p w:rsidR="00784D79" w:rsidRPr="00F315A6" w:rsidRDefault="00784D79" w:rsidP="00784D79">
      <w:pPr>
        <w:snapToGrid w:val="0"/>
        <w:spacing w:afterLines="50" w:after="156"/>
        <w:jc w:val="center"/>
        <w:outlineLvl w:val="0"/>
        <w:rPr>
          <w:rFonts w:ascii="方正小标宋简体" w:eastAsia="方正小标宋简体" w:hAnsi="黑体" w:cs="微软雅黑" w:hint="eastAsia"/>
          <w:kern w:val="0"/>
          <w:sz w:val="36"/>
          <w:szCs w:val="36"/>
        </w:rPr>
      </w:pPr>
      <w:bookmarkStart w:id="0" w:name="_GoBack"/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“计分卡”指标及相关内涵说明</w:t>
      </w:r>
      <w:bookmarkEnd w:id="0"/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“计分卡”系综合衡量院校人才培养质量的管理评价工具。</w:t>
      </w:r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1.毕业生“就业率”的分子为已就业毕业生人数，分母为毕业生总人数。已就业毕业生包括：受雇全职工作人员、受雇半职工作人员、自主创业就业人员、毕业后入伍人员、毕业后读本科人员。</w:t>
      </w:r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/>
          <w:sz w:val="32"/>
          <w:szCs w:val="32"/>
        </w:rPr>
        <w:t>2.</w:t>
      </w:r>
      <w:r w:rsidRPr="00F315A6">
        <w:rPr>
          <w:rFonts w:ascii="仿宋_GB2312" w:eastAsia="仿宋_GB2312" w:hAnsi="Cambria" w:hint="eastAsia"/>
          <w:sz w:val="32"/>
          <w:szCs w:val="32"/>
        </w:rPr>
        <w:t>“月收入”指包含奖金、提成、住宿、住房公积金等折算成的现金总和。</w:t>
      </w:r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/>
          <w:sz w:val="32"/>
          <w:szCs w:val="32"/>
        </w:rPr>
        <w:t>3</w:t>
      </w:r>
      <w:r w:rsidRPr="00F315A6">
        <w:rPr>
          <w:rFonts w:ascii="仿宋_GB2312" w:eastAsia="仿宋_GB2312" w:hAnsi="Cambria" w:hint="eastAsia"/>
          <w:sz w:val="32"/>
          <w:szCs w:val="32"/>
        </w:rPr>
        <w:t>.“理工农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医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类专业相关度”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指理工农医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类专业的毕业生认为所从事的工作与所学专业相关的比例，分母是本单位调查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时理工农医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类专业就业的毕业生人数，分子是本单位理工农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医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类专业的毕业生认为所从事的工作与所学专业相关的人数。</w:t>
      </w:r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/>
          <w:sz w:val="32"/>
          <w:szCs w:val="32"/>
        </w:rPr>
        <w:t>4</w:t>
      </w:r>
      <w:r w:rsidRPr="00F315A6">
        <w:rPr>
          <w:rFonts w:ascii="仿宋_GB2312" w:eastAsia="仿宋_GB2312" w:hAnsi="Cambria" w:hint="eastAsia"/>
          <w:sz w:val="32"/>
          <w:szCs w:val="32"/>
        </w:rPr>
        <w:t>.“母校满意度”指本校高职毕业生对母校表示满意的比例。</w:t>
      </w:r>
    </w:p>
    <w:p w:rsidR="00784D79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/>
          <w:sz w:val="32"/>
          <w:szCs w:val="32"/>
        </w:rPr>
        <w:t>5</w:t>
      </w:r>
      <w:r w:rsidRPr="00F315A6">
        <w:rPr>
          <w:rFonts w:ascii="仿宋_GB2312" w:eastAsia="仿宋_GB2312" w:hAnsi="Cambria" w:hint="eastAsia"/>
          <w:sz w:val="32"/>
          <w:szCs w:val="32"/>
        </w:rPr>
        <w:t>.“雇主满意度”指录用应届高职毕业生的单位或部门对录用本校学生的满意度评价。</w:t>
      </w:r>
    </w:p>
    <w:p w:rsidR="00784D79" w:rsidRPr="00F315A6" w:rsidRDefault="00784D79" w:rsidP="00784D79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/>
          <w:sz w:val="32"/>
          <w:szCs w:val="32"/>
        </w:rPr>
        <w:t>6</w:t>
      </w:r>
      <w:r w:rsidRPr="00F315A6">
        <w:rPr>
          <w:rFonts w:ascii="仿宋_GB2312" w:eastAsia="仿宋_GB2312" w:hAnsi="Cambria" w:hint="eastAsia"/>
          <w:sz w:val="32"/>
          <w:szCs w:val="32"/>
        </w:rPr>
        <w:t>.“毕业三年职位晋升比例”指本校2015届高职生毕业三年后有过职位晋升的比例。</w:t>
      </w:r>
      <w:r w:rsidRPr="00F315A6">
        <w:rPr>
          <w:rFonts w:ascii="仿宋_GB2312" w:eastAsia="仿宋_GB2312" w:hAnsi="Cambria"/>
          <w:sz w:val="32"/>
          <w:szCs w:val="32"/>
        </w:rPr>
        <w:t>分母是</w:t>
      </w:r>
      <w:r w:rsidRPr="00F315A6">
        <w:rPr>
          <w:rFonts w:ascii="仿宋_GB2312" w:eastAsia="仿宋_GB2312" w:hAnsi="Cambria" w:hint="eastAsia"/>
          <w:sz w:val="32"/>
          <w:szCs w:val="32"/>
        </w:rPr>
        <w:t>本校2015届高职毕业生数，分子</w:t>
      </w:r>
      <w:r w:rsidRPr="00F315A6">
        <w:rPr>
          <w:rFonts w:ascii="仿宋_GB2312" w:eastAsia="仿宋_GB2312" w:hAnsi="Cambria"/>
          <w:sz w:val="32"/>
          <w:szCs w:val="32"/>
        </w:rPr>
        <w:t>是</w:t>
      </w:r>
      <w:r w:rsidRPr="00F315A6">
        <w:rPr>
          <w:rFonts w:ascii="仿宋_GB2312" w:eastAsia="仿宋_GB2312" w:hAnsi="Cambria" w:hint="eastAsia"/>
          <w:sz w:val="32"/>
          <w:szCs w:val="32"/>
        </w:rPr>
        <w:t>毕业三年后有过职位晋升的本校2015届高职毕业生数</w:t>
      </w:r>
      <w:r w:rsidRPr="00F315A6">
        <w:rPr>
          <w:rFonts w:ascii="仿宋_GB2312" w:eastAsia="仿宋_GB2312" w:hAnsi="Cambria"/>
          <w:sz w:val="32"/>
          <w:szCs w:val="32"/>
        </w:rPr>
        <w:t>，</w:t>
      </w:r>
      <w:r w:rsidRPr="00F315A6">
        <w:rPr>
          <w:rFonts w:ascii="仿宋_GB2312" w:eastAsia="仿宋_GB2312" w:hAnsi="Cambria" w:hint="eastAsia"/>
          <w:sz w:val="32"/>
          <w:szCs w:val="32"/>
        </w:rPr>
        <w:t>此处</w:t>
      </w:r>
      <w:r w:rsidRPr="00F315A6">
        <w:rPr>
          <w:rFonts w:ascii="仿宋_GB2312" w:eastAsia="仿宋_GB2312" w:hAnsi="Cambria"/>
          <w:sz w:val="32"/>
          <w:szCs w:val="32"/>
        </w:rPr>
        <w:t>职位晋升形式</w:t>
      </w:r>
      <w:r w:rsidRPr="00F315A6">
        <w:rPr>
          <w:rFonts w:ascii="仿宋_GB2312" w:eastAsia="仿宋_GB2312" w:hAnsi="Cambria" w:hint="eastAsia"/>
          <w:sz w:val="32"/>
          <w:szCs w:val="32"/>
        </w:rPr>
        <w:t>可</w:t>
      </w:r>
      <w:r w:rsidRPr="00F315A6">
        <w:rPr>
          <w:rFonts w:ascii="仿宋_GB2312" w:eastAsia="仿宋_GB2312" w:hAnsi="Cambria"/>
          <w:sz w:val="32"/>
          <w:szCs w:val="32"/>
        </w:rPr>
        <w:t>包含：</w:t>
      </w:r>
      <w:r w:rsidRPr="00F315A6">
        <w:rPr>
          <w:rFonts w:ascii="仿宋_GB2312" w:eastAsia="仿宋_GB2312" w:hAnsi="Cambria" w:hint="eastAsia"/>
          <w:sz w:val="32"/>
          <w:szCs w:val="32"/>
        </w:rPr>
        <w:t>工作职责</w:t>
      </w:r>
      <w:r w:rsidRPr="00F315A6">
        <w:rPr>
          <w:rFonts w:ascii="仿宋_GB2312" w:eastAsia="仿宋_GB2312" w:hAnsi="Cambria"/>
          <w:sz w:val="32"/>
          <w:szCs w:val="32"/>
        </w:rPr>
        <w:t>的增大、管理权限的扩大、专业</w:t>
      </w:r>
      <w:r w:rsidRPr="00F315A6">
        <w:rPr>
          <w:rFonts w:ascii="仿宋_GB2312" w:eastAsia="仿宋_GB2312" w:hAnsi="Cambria" w:hint="eastAsia"/>
          <w:sz w:val="32"/>
          <w:szCs w:val="32"/>
        </w:rPr>
        <w:t>职称</w:t>
      </w:r>
      <w:r w:rsidRPr="00F315A6">
        <w:rPr>
          <w:rFonts w:ascii="仿宋_GB2312" w:eastAsia="仿宋_GB2312" w:hAnsi="Cambria"/>
          <w:sz w:val="32"/>
          <w:szCs w:val="32"/>
        </w:rPr>
        <w:t>的提升及</w:t>
      </w:r>
      <w:r w:rsidRPr="00F315A6">
        <w:rPr>
          <w:rFonts w:ascii="仿宋_GB2312" w:eastAsia="仿宋_GB2312" w:hAnsi="Cambria" w:hint="eastAsia"/>
          <w:sz w:val="32"/>
          <w:szCs w:val="32"/>
        </w:rPr>
        <w:t>由此带来的</w:t>
      </w:r>
      <w:r w:rsidRPr="00F315A6">
        <w:rPr>
          <w:rFonts w:ascii="仿宋_GB2312" w:eastAsia="仿宋_GB2312" w:hAnsi="Cambria"/>
          <w:sz w:val="32"/>
          <w:szCs w:val="32"/>
        </w:rPr>
        <w:t>薪资增加</w:t>
      </w:r>
      <w:r w:rsidRPr="00F315A6">
        <w:rPr>
          <w:rFonts w:ascii="仿宋_GB2312" w:eastAsia="仿宋_GB2312" w:hAnsi="Cambria" w:hint="eastAsia"/>
          <w:sz w:val="32"/>
          <w:szCs w:val="32"/>
        </w:rPr>
        <w:t>。</w:t>
      </w:r>
    </w:p>
    <w:p w:rsidR="00784D79" w:rsidRPr="00F315A6" w:rsidRDefault="00784D79" w:rsidP="00784D79">
      <w:pPr>
        <w:spacing w:line="520" w:lineRule="exact"/>
        <w:rPr>
          <w:rFonts w:ascii="Cambria" w:eastAsia="仿宋_GB2312" w:hAnsi="Cambria"/>
          <w:sz w:val="30"/>
          <w:szCs w:val="30"/>
        </w:rPr>
      </w:pPr>
    </w:p>
    <w:p w:rsidR="00784D79" w:rsidRPr="00F315A6" w:rsidRDefault="00784D79" w:rsidP="00784D79">
      <w:pPr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F315A6">
        <w:rPr>
          <w:rFonts w:ascii="Cambria" w:eastAsia="仿宋_GB2312" w:hAnsi="Cambria"/>
          <w:sz w:val="32"/>
          <w:szCs w:val="32"/>
        </w:rPr>
        <w:br w:type="page"/>
      </w:r>
      <w:r w:rsidRPr="00F315A6">
        <w:rPr>
          <w:rFonts w:ascii="黑体" w:eastAsia="黑体" w:hAnsi="黑体" w:hint="eastAsia"/>
          <w:sz w:val="32"/>
          <w:szCs w:val="32"/>
        </w:rPr>
        <w:lastRenderedPageBreak/>
        <w:t>表1 计分卡</w:t>
      </w:r>
    </w:p>
    <w:tbl>
      <w:tblPr>
        <w:tblW w:w="8562" w:type="dxa"/>
        <w:jc w:val="center"/>
        <w:tblLook w:val="04A0" w:firstRow="1" w:lastRow="0" w:firstColumn="1" w:lastColumn="0" w:noHBand="0" w:noVBand="1"/>
      </w:tblPr>
      <w:tblGrid>
        <w:gridCol w:w="765"/>
        <w:gridCol w:w="767"/>
        <w:gridCol w:w="473"/>
        <w:gridCol w:w="3506"/>
        <w:gridCol w:w="1011"/>
        <w:gridCol w:w="983"/>
        <w:gridCol w:w="1057"/>
      </w:tblGrid>
      <w:tr w:rsidR="00784D79" w:rsidRPr="00F315A6" w:rsidTr="00292ED6">
        <w:trPr>
          <w:trHeight w:val="70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2017年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2018年</w:t>
            </w: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 xml:space="preserve">就业率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月收入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元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理工农</w:t>
            </w:r>
            <w:proofErr w:type="gramStart"/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医</w:t>
            </w:r>
            <w:proofErr w:type="gramEnd"/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类专业相关度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母校满意度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自主创业比例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雇主满意度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784D79" w:rsidRPr="00F315A6" w:rsidTr="00292ED6">
        <w:trPr>
          <w:trHeight w:val="285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毕业三年职位晋升比例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D79" w:rsidRPr="00F315A6" w:rsidRDefault="00784D79" w:rsidP="00292ED6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</w:tbl>
    <w:p w:rsidR="00784D79" w:rsidRPr="00F315A6" w:rsidRDefault="00784D79" w:rsidP="00784D79">
      <w:pPr>
        <w:rPr>
          <w:rFonts w:ascii="Calibri" w:hAnsi="Calibri"/>
          <w:szCs w:val="22"/>
        </w:rPr>
      </w:pPr>
    </w:p>
    <w:p w:rsidR="009B4E7E" w:rsidRDefault="009B4E7E" w:rsidP="00784D79"/>
    <w:sectPr w:rsidR="009B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79"/>
    <w:rsid w:val="00784D79"/>
    <w:rsid w:val="009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9EA8"/>
  <w15:chartTrackingRefBased/>
  <w15:docId w15:val="{2092EC76-8575-463A-90CB-C0BB2060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2018-11-15T06:05:00Z</dcterms:created>
  <dcterms:modified xsi:type="dcterms:W3CDTF">2018-11-15T06:05:00Z</dcterms:modified>
</cp:coreProperties>
</file>