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6E0" w:rsidRDefault="00F376E0" w:rsidP="00F376E0">
      <w:pPr>
        <w:shd w:val="clear" w:color="auto" w:fill="FFFFFF"/>
        <w:contextualSpacing/>
        <w:rPr>
          <w:rFonts w:ascii="宋体" w:hAnsi="宋体"/>
          <w:kern w:val="0"/>
          <w:sz w:val="24"/>
        </w:rPr>
      </w:pPr>
      <w:r>
        <w:rPr>
          <w:rFonts w:ascii="黑体" w:eastAsia="黑体" w:hAnsi="黑体" w:hint="eastAsia"/>
          <w:kern w:val="0"/>
          <w:sz w:val="32"/>
          <w:szCs w:val="32"/>
        </w:rPr>
        <w:t>附件2</w:t>
      </w:r>
    </w:p>
    <w:p w:rsidR="00F376E0" w:rsidRPr="00615B40" w:rsidRDefault="00F376E0" w:rsidP="00F376E0">
      <w:pPr>
        <w:shd w:val="clear" w:color="auto" w:fill="FFFFFF"/>
        <w:snapToGrid w:val="0"/>
        <w:spacing w:before="100" w:beforeAutospacing="1" w:after="100" w:afterAutospacing="1" w:line="340" w:lineRule="exact"/>
        <w:jc w:val="center"/>
        <w:rPr>
          <w:rFonts w:ascii="方正小标宋简体" w:eastAsia="方正小标宋简体" w:hAnsi="宋体"/>
          <w:kern w:val="0"/>
          <w:sz w:val="36"/>
          <w:szCs w:val="36"/>
        </w:rPr>
      </w:pPr>
      <w:bookmarkStart w:id="0" w:name="_GoBack"/>
      <w:r w:rsidRPr="00615B40">
        <w:rPr>
          <w:rFonts w:ascii="方正小标宋简体" w:eastAsia="方正小标宋简体" w:hAnsi="宋体" w:hint="eastAsia"/>
          <w:kern w:val="0"/>
          <w:sz w:val="36"/>
          <w:szCs w:val="36"/>
        </w:rPr>
        <w:t>2018年度“齐鲁工匠后备人才”培育对象名额分配</w:t>
      </w:r>
      <w:bookmarkEnd w:id="0"/>
      <w:r w:rsidRPr="00615B40">
        <w:rPr>
          <w:rFonts w:ascii="方正小标宋简体" w:eastAsia="方正小标宋简体" w:hAnsi="宋体" w:hint="eastAsia"/>
          <w:kern w:val="0"/>
          <w:sz w:val="36"/>
          <w:szCs w:val="36"/>
        </w:rPr>
        <w:t>表</w:t>
      </w:r>
    </w:p>
    <w:tbl>
      <w:tblPr>
        <w:tblW w:w="851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1"/>
        <w:gridCol w:w="3265"/>
        <w:gridCol w:w="3260"/>
        <w:gridCol w:w="1134"/>
      </w:tblGrid>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b/>
                <w:bCs/>
                <w:kern w:val="0"/>
                <w:sz w:val="24"/>
              </w:rPr>
              <w:t>序号</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b/>
                <w:bCs/>
                <w:kern w:val="0"/>
                <w:sz w:val="24"/>
              </w:rPr>
              <w:t>专指委名称</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b/>
                <w:bCs/>
                <w:kern w:val="0"/>
                <w:sz w:val="24"/>
              </w:rPr>
              <w:t>牵头院校</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b/>
                <w:bCs/>
                <w:kern w:val="0"/>
                <w:sz w:val="24"/>
              </w:rPr>
              <w:t>数量</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1</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财经专指委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山东商业职业技术学院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840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2</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商业专指委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山东商业职业技术学院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620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3</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建筑专指委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山东城市建设职业学院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500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4</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旅游专指委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山东旅游职业学院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450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5</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电子信息专指委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山东电子职业学院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200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6</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卫生专指委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山东医学高等专科学校</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2000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7</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计算机专指委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山东科技职业学院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1100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8</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纺织服装专指委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山东科技职业学院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kern w:val="0"/>
                <w:sz w:val="24"/>
              </w:rPr>
              <w:t>50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9</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交通运输专指委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山东交通职业学院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340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10</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仿宋_GB2312" w:eastAsia="仿宋_GB2312" w:hAnsi="宋体"/>
                <w:kern w:val="0"/>
                <w:sz w:val="24"/>
              </w:rPr>
            </w:pPr>
            <w:r>
              <w:rPr>
                <w:rFonts w:ascii="仿宋_GB2312" w:eastAsia="仿宋_GB2312" w:hAnsi="宋体" w:hint="eastAsia"/>
                <w:kern w:val="0"/>
                <w:sz w:val="24"/>
              </w:rPr>
              <w:t>食品药品专指委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山东药品食品职业学院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kern w:val="0"/>
                <w:sz w:val="24"/>
              </w:rPr>
              <w:t>200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11</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仿宋_GB2312" w:eastAsia="仿宋_GB2312" w:hAnsi="宋体"/>
                <w:kern w:val="0"/>
                <w:sz w:val="24"/>
              </w:rPr>
            </w:pPr>
            <w:r>
              <w:rPr>
                <w:rFonts w:ascii="仿宋_GB2312" w:eastAsia="仿宋_GB2312" w:hAnsi="宋体" w:hint="eastAsia"/>
                <w:kern w:val="0"/>
                <w:sz w:val="24"/>
              </w:rPr>
              <w:t>农林专指委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潍坊职业学院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kern w:val="0"/>
                <w:sz w:val="24"/>
              </w:rPr>
              <w:t>80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12</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仿宋_GB2312" w:eastAsia="仿宋_GB2312" w:hAnsi="宋体"/>
                <w:kern w:val="0"/>
                <w:sz w:val="24"/>
              </w:rPr>
            </w:pPr>
            <w:r>
              <w:rPr>
                <w:rFonts w:ascii="仿宋_GB2312" w:eastAsia="仿宋_GB2312" w:hAnsi="宋体" w:hint="eastAsia"/>
                <w:kern w:val="0"/>
                <w:sz w:val="24"/>
              </w:rPr>
              <w:t>机械专指委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2150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Pr="00E4434C" w:rsidRDefault="00F376E0" w:rsidP="001A596F">
            <w:pPr>
              <w:spacing w:before="100" w:beforeAutospacing="1" w:after="100" w:afterAutospacing="1"/>
              <w:jc w:val="center"/>
              <w:rPr>
                <w:rFonts w:ascii="宋体" w:hAnsi="宋体"/>
                <w:kern w:val="0"/>
                <w:sz w:val="24"/>
              </w:rPr>
            </w:pPr>
            <w:r w:rsidRPr="00E4434C">
              <w:rPr>
                <w:rFonts w:ascii="仿宋_GB2312" w:eastAsia="仿宋_GB2312" w:hAnsi="宋体" w:hint="eastAsia"/>
                <w:kern w:val="0"/>
                <w:sz w:val="24"/>
              </w:rPr>
              <w:t>13</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Pr="00E4434C" w:rsidRDefault="00F376E0" w:rsidP="001A596F">
            <w:pPr>
              <w:spacing w:before="100" w:beforeAutospacing="1" w:after="100" w:afterAutospacing="1"/>
              <w:jc w:val="center"/>
              <w:rPr>
                <w:rFonts w:ascii="仿宋_GB2312" w:eastAsia="仿宋_GB2312" w:hAnsi="宋体"/>
                <w:kern w:val="0"/>
                <w:sz w:val="24"/>
              </w:rPr>
            </w:pPr>
            <w:r w:rsidRPr="00E4434C">
              <w:rPr>
                <w:rFonts w:ascii="仿宋_GB2312" w:eastAsia="仿宋_GB2312" w:hAnsi="宋体" w:hint="eastAsia"/>
                <w:kern w:val="0"/>
                <w:sz w:val="24"/>
              </w:rPr>
              <w:t>化工专指委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Pr="00E4434C" w:rsidRDefault="00F376E0" w:rsidP="001A596F">
            <w:pPr>
              <w:spacing w:before="100" w:beforeAutospacing="1" w:after="100" w:afterAutospacing="1"/>
              <w:jc w:val="center"/>
              <w:rPr>
                <w:rFonts w:ascii="宋体" w:hAnsi="宋体"/>
                <w:kern w:val="0"/>
                <w:sz w:val="24"/>
              </w:rPr>
            </w:pPr>
            <w:r w:rsidRPr="00E4434C">
              <w:rPr>
                <w:rFonts w:ascii="仿宋_GB2312" w:eastAsia="仿宋_GB2312" w:hAnsi="宋体" w:hint="eastAsia"/>
                <w:kern w:val="0"/>
                <w:sz w:val="24"/>
              </w:rPr>
              <w:t>东营职业学院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Pr="00E4434C" w:rsidRDefault="00F376E0" w:rsidP="001A596F">
            <w:pPr>
              <w:spacing w:before="100" w:beforeAutospacing="1" w:after="100" w:afterAutospacing="1"/>
              <w:jc w:val="center"/>
              <w:rPr>
                <w:rFonts w:ascii="宋体" w:hAnsi="宋体"/>
                <w:kern w:val="0"/>
                <w:sz w:val="24"/>
              </w:rPr>
            </w:pPr>
            <w:r w:rsidRPr="00E4434C">
              <w:rPr>
                <w:rFonts w:ascii="仿宋_GB2312" w:eastAsia="仿宋_GB2312" w:hAnsi="宋体" w:hint="eastAsia"/>
                <w:kern w:val="0"/>
                <w:sz w:val="24"/>
              </w:rPr>
              <w:t>155</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14</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仿宋_GB2312" w:eastAsia="仿宋_GB2312" w:hAnsi="宋体"/>
                <w:kern w:val="0"/>
                <w:sz w:val="24"/>
              </w:rPr>
            </w:pPr>
            <w:r>
              <w:rPr>
                <w:rFonts w:ascii="仿宋_GB2312" w:eastAsia="仿宋_GB2312" w:hAnsi="宋体" w:hint="eastAsia"/>
                <w:kern w:val="0"/>
                <w:sz w:val="24"/>
              </w:rPr>
              <w:t>畜牧专指委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山东畜牧兽医职业学院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kern w:val="0"/>
                <w:sz w:val="24"/>
              </w:rPr>
              <w:t>200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15</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仿宋_GB2312" w:eastAsia="仿宋_GB2312" w:hAnsi="宋体"/>
                <w:kern w:val="0"/>
                <w:sz w:val="24"/>
              </w:rPr>
            </w:pPr>
            <w:r>
              <w:rPr>
                <w:rFonts w:ascii="仿宋_GB2312" w:eastAsia="仿宋_GB2312" w:hAnsi="宋体" w:hint="eastAsia"/>
                <w:kern w:val="0"/>
                <w:sz w:val="24"/>
              </w:rPr>
              <w:t>水利与测绘专指委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山东水利职业学院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30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16</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仿宋_GB2312" w:eastAsia="仿宋_GB2312" w:hAnsi="宋体"/>
                <w:kern w:val="0"/>
                <w:sz w:val="24"/>
              </w:rPr>
            </w:pPr>
            <w:r>
              <w:rPr>
                <w:rFonts w:ascii="仿宋_GB2312" w:eastAsia="仿宋_GB2312" w:hAnsi="宋体" w:hint="eastAsia"/>
                <w:kern w:val="0"/>
                <w:sz w:val="24"/>
              </w:rPr>
              <w:t>外语专指委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山东外贸职业学院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kern w:val="0"/>
                <w:sz w:val="24"/>
              </w:rPr>
              <w:t>200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17</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仿宋_GB2312" w:eastAsia="仿宋_GB2312" w:hAnsi="宋体"/>
                <w:kern w:val="0"/>
                <w:sz w:val="24"/>
              </w:rPr>
            </w:pPr>
            <w:r>
              <w:rPr>
                <w:rFonts w:ascii="仿宋_GB2312" w:eastAsia="仿宋_GB2312" w:hAnsi="宋体" w:hint="eastAsia"/>
                <w:kern w:val="0"/>
                <w:sz w:val="24"/>
              </w:rPr>
              <w:t>外经贸专指委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山东外贸职业学院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120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18</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仿宋_GB2312" w:eastAsia="仿宋_GB2312" w:hAnsi="宋体"/>
                <w:kern w:val="0"/>
                <w:sz w:val="24"/>
              </w:rPr>
            </w:pPr>
            <w:r>
              <w:rPr>
                <w:rFonts w:ascii="仿宋_GB2312" w:eastAsia="仿宋_GB2312" w:hAnsi="宋体" w:hint="eastAsia"/>
                <w:kern w:val="0"/>
                <w:sz w:val="24"/>
              </w:rPr>
              <w:t>海洋与渔业专指委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日照职业技术学院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kern w:val="0"/>
                <w:sz w:val="24"/>
              </w:rPr>
              <w:t>50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19</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艺术专指委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日照职业技术学院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400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20</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教育专指委</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济南幼儿师范高等专科学校</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270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仿宋_GB2312" w:eastAsia="仿宋_GB2312" w:hAnsi="宋体"/>
                <w:kern w:val="0"/>
                <w:sz w:val="24"/>
              </w:rPr>
            </w:pPr>
            <w:r>
              <w:rPr>
                <w:rFonts w:ascii="仿宋_GB2312" w:eastAsia="仿宋_GB2312" w:hAnsi="宋体" w:hint="eastAsia"/>
                <w:kern w:val="0"/>
                <w:sz w:val="24"/>
              </w:rPr>
              <w:t>21</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Pr="002745CA" w:rsidRDefault="00F376E0" w:rsidP="001A596F">
            <w:pPr>
              <w:spacing w:before="100" w:beforeAutospacing="1" w:after="100" w:afterAutospacing="1"/>
              <w:jc w:val="center"/>
              <w:rPr>
                <w:rFonts w:ascii="仿宋_GB2312" w:eastAsia="仿宋_GB2312" w:hAnsi="宋体"/>
                <w:kern w:val="0"/>
                <w:sz w:val="24"/>
              </w:rPr>
            </w:pPr>
            <w:r w:rsidRPr="002745CA">
              <w:rPr>
                <w:rFonts w:ascii="仿宋_GB2312" w:eastAsia="仿宋_GB2312" w:hAnsi="宋体" w:hint="eastAsia"/>
                <w:kern w:val="0"/>
                <w:sz w:val="24"/>
              </w:rPr>
              <w:t>安全</w:t>
            </w:r>
            <w:r w:rsidRPr="002745CA">
              <w:rPr>
                <w:rFonts w:ascii="仿宋_GB2312" w:eastAsia="仿宋_GB2312" w:hAnsi="宋体"/>
                <w:kern w:val="0"/>
                <w:sz w:val="24"/>
              </w:rPr>
              <w:t>专</w:t>
            </w:r>
            <w:r w:rsidRPr="002745CA">
              <w:rPr>
                <w:rFonts w:ascii="仿宋_GB2312" w:eastAsia="仿宋_GB2312" w:hAnsi="宋体" w:hint="eastAsia"/>
                <w:kern w:val="0"/>
                <w:sz w:val="24"/>
              </w:rPr>
              <w:t>指委</w:t>
            </w:r>
            <w:r w:rsidRPr="002745CA">
              <w:rPr>
                <w:rFonts w:ascii="仿宋_GB2312" w:eastAsia="仿宋_GB2312" w:hAnsi="宋体"/>
                <w:kern w:val="0"/>
                <w:sz w:val="24"/>
              </w:rPr>
              <w:t>（</w:t>
            </w:r>
            <w:r w:rsidRPr="002745CA">
              <w:rPr>
                <w:rFonts w:ascii="仿宋_GB2312" w:eastAsia="仿宋_GB2312" w:hAnsi="宋体" w:hint="eastAsia"/>
                <w:kern w:val="0"/>
                <w:sz w:val="24"/>
              </w:rPr>
              <w:t>筹</w:t>
            </w:r>
            <w:r w:rsidRPr="002745CA">
              <w:rPr>
                <w:rFonts w:ascii="仿宋_GB2312" w:eastAsia="仿宋_GB2312" w:hAnsi="宋体"/>
                <w:kern w:val="0"/>
                <w:sz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Pr="002745CA" w:rsidRDefault="00F376E0" w:rsidP="001A596F">
            <w:pPr>
              <w:spacing w:before="100" w:beforeAutospacing="1" w:after="100" w:afterAutospacing="1"/>
              <w:jc w:val="center"/>
              <w:rPr>
                <w:rFonts w:ascii="仿宋_GB2312" w:eastAsia="仿宋_GB2312" w:hAnsi="宋体"/>
                <w:kern w:val="0"/>
                <w:sz w:val="24"/>
              </w:rPr>
            </w:pPr>
            <w:r w:rsidRPr="002745CA">
              <w:rPr>
                <w:rFonts w:ascii="仿宋_GB2312" w:eastAsia="仿宋_GB2312" w:hAnsi="宋体" w:hint="eastAsia"/>
                <w:kern w:val="0"/>
                <w:sz w:val="24"/>
              </w:rPr>
              <w:t>东营</w:t>
            </w:r>
            <w:r w:rsidRPr="002745CA">
              <w:rPr>
                <w:rFonts w:ascii="仿宋_GB2312" w:eastAsia="仿宋_GB2312" w:hAnsi="宋体"/>
                <w:kern w:val="0"/>
                <w:sz w:val="24"/>
              </w:rPr>
              <w:t>职业学院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Pr="002745CA" w:rsidRDefault="00F376E0" w:rsidP="001A596F">
            <w:pPr>
              <w:spacing w:before="100" w:beforeAutospacing="1" w:after="100" w:afterAutospacing="1"/>
              <w:jc w:val="center"/>
              <w:rPr>
                <w:rFonts w:ascii="仿宋_GB2312" w:eastAsia="仿宋_GB2312" w:hAnsi="宋体"/>
                <w:kern w:val="0"/>
                <w:sz w:val="24"/>
              </w:rPr>
            </w:pPr>
            <w:r w:rsidRPr="002745CA">
              <w:rPr>
                <w:rFonts w:ascii="仿宋_GB2312" w:eastAsia="仿宋_GB2312" w:hAnsi="宋体" w:hint="eastAsia"/>
                <w:kern w:val="0"/>
                <w:sz w:val="24"/>
              </w:rPr>
              <w:t>20</w:t>
            </w:r>
          </w:p>
        </w:tc>
      </w:tr>
      <w:tr w:rsidR="00F376E0" w:rsidTr="001A596F">
        <w:trPr>
          <w:trHeight w:hRule="exact" w:val="397"/>
          <w:jc w:val="center"/>
        </w:trPr>
        <w:tc>
          <w:tcPr>
            <w:tcW w:w="851"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仿宋_GB2312" w:eastAsia="仿宋_GB2312" w:hAnsi="宋体"/>
                <w:kern w:val="0"/>
                <w:sz w:val="24"/>
              </w:rPr>
            </w:pPr>
            <w:r>
              <w:rPr>
                <w:rFonts w:ascii="仿宋_GB2312" w:eastAsia="仿宋_GB2312" w:hAnsi="宋体" w:hint="eastAsia"/>
                <w:kern w:val="0"/>
                <w:sz w:val="24"/>
              </w:rPr>
              <w:t>22</w:t>
            </w:r>
          </w:p>
        </w:tc>
        <w:tc>
          <w:tcPr>
            <w:tcW w:w="3265" w:type="dxa"/>
            <w:tcBorders>
              <w:top w:val="single" w:sz="4" w:space="0" w:color="auto"/>
              <w:left w:val="single" w:sz="4" w:space="0" w:color="auto"/>
              <w:bottom w:val="single" w:sz="4" w:space="0" w:color="auto"/>
              <w:right w:val="single" w:sz="4" w:space="0" w:color="auto"/>
            </w:tcBorders>
            <w:vAlign w:val="center"/>
          </w:tcPr>
          <w:p w:rsidR="00F376E0" w:rsidRPr="002745CA" w:rsidRDefault="00F376E0" w:rsidP="001A596F">
            <w:pPr>
              <w:spacing w:before="100" w:beforeAutospacing="1" w:after="100" w:afterAutospacing="1"/>
              <w:jc w:val="center"/>
              <w:rPr>
                <w:rFonts w:ascii="仿宋_GB2312" w:eastAsia="仿宋_GB2312" w:hAnsi="宋体"/>
                <w:kern w:val="0"/>
                <w:sz w:val="24"/>
              </w:rPr>
            </w:pPr>
            <w:r w:rsidRPr="002745CA">
              <w:rPr>
                <w:rFonts w:ascii="仿宋_GB2312" w:eastAsia="仿宋_GB2312" w:hAnsi="宋体" w:hint="eastAsia"/>
                <w:kern w:val="0"/>
                <w:sz w:val="24"/>
              </w:rPr>
              <w:t>能源</w:t>
            </w:r>
            <w:r w:rsidRPr="002745CA">
              <w:rPr>
                <w:rFonts w:ascii="仿宋_GB2312" w:eastAsia="仿宋_GB2312" w:hAnsi="宋体"/>
                <w:kern w:val="0"/>
                <w:sz w:val="24"/>
              </w:rPr>
              <w:t>与材料专指</w:t>
            </w:r>
            <w:r w:rsidRPr="002745CA">
              <w:rPr>
                <w:rFonts w:ascii="仿宋_GB2312" w:eastAsia="仿宋_GB2312" w:hAnsi="宋体" w:hint="eastAsia"/>
                <w:kern w:val="0"/>
                <w:sz w:val="24"/>
              </w:rPr>
              <w:t>委</w:t>
            </w:r>
            <w:r w:rsidRPr="002745CA">
              <w:rPr>
                <w:rFonts w:ascii="仿宋_GB2312" w:eastAsia="仿宋_GB2312" w:hAnsi="宋体"/>
                <w:kern w:val="0"/>
                <w:sz w:val="24"/>
              </w:rPr>
              <w:t>（</w:t>
            </w:r>
            <w:r w:rsidRPr="002745CA">
              <w:rPr>
                <w:rFonts w:ascii="仿宋_GB2312" w:eastAsia="仿宋_GB2312" w:hAnsi="宋体" w:hint="eastAsia"/>
                <w:kern w:val="0"/>
                <w:sz w:val="24"/>
              </w:rPr>
              <w:t>筹</w:t>
            </w:r>
            <w:r w:rsidRPr="002745CA">
              <w:rPr>
                <w:rFonts w:ascii="仿宋_GB2312" w:eastAsia="仿宋_GB2312" w:hAnsi="宋体"/>
                <w:kern w:val="0"/>
                <w:sz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F376E0" w:rsidRPr="002745CA" w:rsidRDefault="00F376E0" w:rsidP="001A596F">
            <w:pPr>
              <w:spacing w:before="100" w:beforeAutospacing="1" w:after="100" w:afterAutospacing="1"/>
              <w:jc w:val="center"/>
              <w:rPr>
                <w:rFonts w:ascii="仿宋_GB2312" w:eastAsia="仿宋_GB2312" w:hAnsi="宋体"/>
                <w:kern w:val="0"/>
                <w:sz w:val="24"/>
              </w:rPr>
            </w:pPr>
            <w:r w:rsidRPr="002745CA">
              <w:rPr>
                <w:rFonts w:ascii="仿宋_GB2312" w:eastAsia="仿宋_GB2312" w:hAnsi="宋体" w:hint="eastAsia"/>
                <w:kern w:val="0"/>
                <w:sz w:val="24"/>
              </w:rPr>
              <w:t>德州</w:t>
            </w:r>
            <w:r w:rsidRPr="002745CA">
              <w:rPr>
                <w:rFonts w:ascii="仿宋_GB2312" w:eastAsia="仿宋_GB2312" w:hAnsi="宋体"/>
                <w:kern w:val="0"/>
                <w:sz w:val="24"/>
              </w:rPr>
              <w:t>职业技术学院</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Pr="002745CA" w:rsidRDefault="00F376E0" w:rsidP="001A596F">
            <w:pPr>
              <w:spacing w:before="100" w:beforeAutospacing="1" w:after="100" w:afterAutospacing="1"/>
              <w:jc w:val="center"/>
              <w:rPr>
                <w:rFonts w:ascii="仿宋_GB2312" w:eastAsia="仿宋_GB2312" w:hAnsi="宋体"/>
                <w:kern w:val="0"/>
                <w:sz w:val="24"/>
              </w:rPr>
            </w:pPr>
            <w:r w:rsidRPr="002745CA">
              <w:rPr>
                <w:rFonts w:ascii="仿宋_GB2312" w:eastAsia="仿宋_GB2312" w:hAnsi="宋体" w:hint="eastAsia"/>
                <w:kern w:val="0"/>
                <w:sz w:val="24"/>
              </w:rPr>
              <w:t>25</w:t>
            </w:r>
          </w:p>
        </w:tc>
      </w:tr>
      <w:tr w:rsidR="00F376E0" w:rsidTr="001A596F">
        <w:trPr>
          <w:trHeight w:hRule="exact" w:val="397"/>
          <w:jc w:val="center"/>
        </w:trPr>
        <w:tc>
          <w:tcPr>
            <w:tcW w:w="7376" w:type="dxa"/>
            <w:gridSpan w:val="3"/>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合计</w:t>
            </w:r>
          </w:p>
        </w:tc>
        <w:tc>
          <w:tcPr>
            <w:tcW w:w="1134" w:type="dxa"/>
            <w:tcBorders>
              <w:top w:val="single" w:sz="4" w:space="0" w:color="auto"/>
              <w:left w:val="single" w:sz="4" w:space="0" w:color="auto"/>
              <w:bottom w:val="single" w:sz="4" w:space="0" w:color="auto"/>
              <w:right w:val="single" w:sz="4" w:space="0" w:color="auto"/>
            </w:tcBorders>
            <w:vAlign w:val="center"/>
          </w:tcPr>
          <w:p w:rsidR="00F376E0" w:rsidRDefault="00F376E0" w:rsidP="001A596F">
            <w:pPr>
              <w:spacing w:before="100" w:beforeAutospacing="1" w:after="100" w:afterAutospacing="1"/>
              <w:jc w:val="center"/>
              <w:rPr>
                <w:rFonts w:ascii="宋体" w:hAnsi="宋体"/>
                <w:kern w:val="0"/>
                <w:sz w:val="24"/>
              </w:rPr>
            </w:pPr>
            <w:r>
              <w:rPr>
                <w:rFonts w:ascii="仿宋_GB2312" w:eastAsia="仿宋_GB2312" w:hAnsi="宋体" w:hint="eastAsia"/>
                <w:kern w:val="0"/>
                <w:sz w:val="24"/>
              </w:rPr>
              <w:t>10000</w:t>
            </w:r>
          </w:p>
        </w:tc>
      </w:tr>
    </w:tbl>
    <w:p w:rsidR="00F376E0" w:rsidRDefault="00F376E0" w:rsidP="00F376E0">
      <w:pPr>
        <w:shd w:val="clear" w:color="auto" w:fill="FFFFFF"/>
        <w:snapToGrid w:val="0"/>
        <w:rPr>
          <w:rFonts w:ascii="宋体" w:hAnsi="宋体"/>
          <w:kern w:val="0"/>
          <w:sz w:val="24"/>
        </w:rPr>
      </w:pPr>
      <w:r>
        <w:rPr>
          <w:rFonts w:ascii="仿宋" w:eastAsia="仿宋" w:hAnsi="仿宋" w:hint="eastAsia"/>
          <w:kern w:val="0"/>
          <w:sz w:val="24"/>
        </w:rPr>
        <w:t>注：1.名额分配以十强产业相关专业领域为重点并予以倾斜。</w:t>
      </w:r>
    </w:p>
    <w:p w:rsidR="00F376E0" w:rsidRDefault="00F376E0" w:rsidP="00F376E0">
      <w:pPr>
        <w:shd w:val="clear" w:color="auto" w:fill="FFFFFF"/>
        <w:snapToGrid w:val="0"/>
        <w:ind w:firstLineChars="200" w:firstLine="480"/>
        <w:rPr>
          <w:rFonts w:ascii="仿宋" w:eastAsia="仿宋" w:hAnsi="仿宋"/>
          <w:kern w:val="0"/>
          <w:sz w:val="24"/>
        </w:rPr>
      </w:pPr>
      <w:r>
        <w:rPr>
          <w:rFonts w:ascii="仿宋" w:eastAsia="仿宋" w:hAnsi="仿宋" w:hint="eastAsia"/>
          <w:kern w:val="0"/>
          <w:sz w:val="24"/>
        </w:rPr>
        <w:t>2.名额分配以人才培养数据平台各专业大类在校生数量所占比例为依据。</w:t>
      </w:r>
    </w:p>
    <w:p w:rsidR="00F376E0" w:rsidRDefault="00F376E0" w:rsidP="00F376E0">
      <w:pPr>
        <w:shd w:val="clear" w:color="auto" w:fill="FFFFFF"/>
        <w:snapToGrid w:val="0"/>
        <w:ind w:firstLineChars="200" w:firstLine="480"/>
        <w:rPr>
          <w:rFonts w:ascii="仿宋" w:eastAsia="仿宋" w:hAnsi="仿宋"/>
          <w:b/>
          <w:kern w:val="0"/>
          <w:sz w:val="24"/>
        </w:rPr>
        <w:sectPr w:rsidR="00F376E0">
          <w:pgSz w:w="11906" w:h="16838"/>
          <w:pgMar w:top="1440" w:right="1800" w:bottom="1440" w:left="1800" w:header="851" w:footer="992" w:gutter="0"/>
          <w:cols w:space="425"/>
          <w:docGrid w:type="lines" w:linePitch="312"/>
        </w:sectPr>
      </w:pPr>
      <w:r>
        <w:rPr>
          <w:rFonts w:ascii="仿宋" w:eastAsia="仿宋" w:hAnsi="仿宋" w:hint="eastAsia"/>
          <w:kern w:val="0"/>
          <w:sz w:val="24"/>
        </w:rPr>
        <w:t>3.分配原则：以各专业教学指导委员会所指导的专业和专业群，职业院校在校生人数及对接新旧动能转换十大产业情况为依据，进行名额分配。其中，能够直接对接十大产业的旅游、电子信息、卫生、计算机、农林、机械、化工、畜牧、海洋与渔业、艺术、</w:t>
      </w:r>
      <w:r w:rsidRPr="002745CA">
        <w:rPr>
          <w:rFonts w:ascii="仿宋" w:eastAsia="仿宋" w:hAnsi="仿宋" w:hint="eastAsia"/>
          <w:kern w:val="0"/>
          <w:sz w:val="24"/>
        </w:rPr>
        <w:t>能源11个</w:t>
      </w:r>
      <w:r>
        <w:rPr>
          <w:rFonts w:ascii="仿宋" w:eastAsia="仿宋" w:hAnsi="仿宋" w:hint="eastAsia"/>
          <w:kern w:val="0"/>
          <w:sz w:val="24"/>
        </w:rPr>
        <w:t>专指委按照职业院校在校生50：1左右的比例，其他</w:t>
      </w:r>
      <w:r w:rsidRPr="002745CA">
        <w:rPr>
          <w:rFonts w:ascii="仿宋" w:eastAsia="仿宋" w:hAnsi="仿宋" w:hint="eastAsia"/>
          <w:kern w:val="0"/>
          <w:sz w:val="24"/>
        </w:rPr>
        <w:t>11个</w:t>
      </w:r>
      <w:r>
        <w:rPr>
          <w:rFonts w:ascii="仿宋" w:eastAsia="仿宋" w:hAnsi="仿宋" w:hint="eastAsia"/>
          <w:kern w:val="0"/>
          <w:sz w:val="24"/>
        </w:rPr>
        <w:t>专指委按职业院校在校生100：1左右的比例进行名额分配。</w:t>
      </w:r>
    </w:p>
    <w:p w:rsidR="00420B61" w:rsidRPr="00F376E0" w:rsidRDefault="00420B61"/>
    <w:sectPr w:rsidR="00420B61" w:rsidRPr="00F37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E0"/>
    <w:rsid w:val="00420B61"/>
    <w:rsid w:val="00F3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536C"/>
  <w15:chartTrackingRefBased/>
  <w15:docId w15:val="{12FCA59E-CA19-4D8F-BD85-4E6A9987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6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2018-09-05T08:26:00Z</dcterms:created>
  <dcterms:modified xsi:type="dcterms:W3CDTF">2018-09-05T08:26:00Z</dcterms:modified>
</cp:coreProperties>
</file>