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59" w:rsidRDefault="00567659" w:rsidP="00567659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567659" w:rsidRDefault="00567659" w:rsidP="00567659">
      <w:pPr>
        <w:pStyle w:val="NewNew"/>
        <w:jc w:val="center"/>
        <w:rPr>
          <w:rFonts w:ascii="方正小标宋简体" w:eastAsia="方正小标宋简体" w:hAnsi="方正小标宋简体" w:hint="eastAsia"/>
          <w:b/>
          <w:bCs/>
          <w:sz w:val="28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培训计划</w:t>
      </w:r>
      <w:r>
        <w:rPr>
          <w:rFonts w:ascii="仿宋_GB2312" w:eastAsia="仿宋_GB2312" w:hAnsi="仿宋_GB2312" w:hint="eastAsia"/>
          <w:sz w:val="28"/>
        </w:rPr>
        <w:t>（第一期）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897"/>
        <w:gridCol w:w="3611"/>
        <w:gridCol w:w="3295"/>
      </w:tblGrid>
      <w:tr w:rsidR="00567659" w:rsidTr="00E64089">
        <w:trPr>
          <w:jc w:val="center"/>
        </w:trPr>
        <w:tc>
          <w:tcPr>
            <w:tcW w:w="2948" w:type="dxa"/>
            <w:gridSpan w:val="2"/>
            <w:vAlign w:val="center"/>
          </w:tcPr>
          <w:p w:rsidR="00567659" w:rsidRDefault="00567659" w:rsidP="00E64089">
            <w:pPr>
              <w:pStyle w:val="NewNewNew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时  间</w:t>
            </w:r>
          </w:p>
        </w:tc>
        <w:tc>
          <w:tcPr>
            <w:tcW w:w="3611" w:type="dxa"/>
            <w:vAlign w:val="center"/>
          </w:tcPr>
          <w:p w:rsidR="00567659" w:rsidRDefault="00567659" w:rsidP="00E64089">
            <w:pPr>
              <w:pStyle w:val="NewNewNew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日  程</w:t>
            </w:r>
          </w:p>
        </w:tc>
        <w:tc>
          <w:tcPr>
            <w:tcW w:w="3295" w:type="dxa"/>
          </w:tcPr>
          <w:p w:rsidR="00567659" w:rsidRDefault="00567659" w:rsidP="00E64089">
            <w:pPr>
              <w:pStyle w:val="NewNewNew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授课人</w:t>
            </w:r>
          </w:p>
        </w:tc>
      </w:tr>
      <w:tr w:rsidR="00567659" w:rsidTr="00E64089">
        <w:trPr>
          <w:jc w:val="center"/>
        </w:trPr>
        <w:tc>
          <w:tcPr>
            <w:tcW w:w="1051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5月</w:t>
            </w:r>
          </w:p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15日</w:t>
            </w: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12：00前</w:t>
            </w:r>
          </w:p>
        </w:tc>
        <w:tc>
          <w:tcPr>
            <w:tcW w:w="6906" w:type="dxa"/>
            <w:gridSpan w:val="2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报到</w:t>
            </w:r>
          </w:p>
        </w:tc>
      </w:tr>
      <w:tr w:rsidR="00567659" w:rsidTr="00E64089">
        <w:trPr>
          <w:trHeight w:val="448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14:30—15:00</w:t>
            </w:r>
          </w:p>
        </w:tc>
        <w:tc>
          <w:tcPr>
            <w:tcW w:w="3611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开  班</w:t>
            </w:r>
          </w:p>
        </w:tc>
        <w:tc>
          <w:tcPr>
            <w:tcW w:w="3295" w:type="dxa"/>
          </w:tcPr>
          <w:p w:rsidR="00567659" w:rsidRDefault="00567659" w:rsidP="00E64089">
            <w:pPr>
              <w:pStyle w:val="NewNewNew"/>
              <w:spacing w:line="360" w:lineRule="auto"/>
              <w:rPr>
                <w:rFonts w:ascii="汉仪书宋一简" w:eastAsia="汉仪书宋一简" w:hAnsi="仿宋_GB2312" w:hint="eastAsia"/>
                <w:szCs w:val="21"/>
              </w:rPr>
            </w:pPr>
          </w:p>
        </w:tc>
      </w:tr>
      <w:tr w:rsidR="00567659" w:rsidTr="00E64089">
        <w:trPr>
          <w:trHeight w:val="446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15:00—17:00</w:t>
            </w:r>
          </w:p>
        </w:tc>
        <w:tc>
          <w:tcPr>
            <w:tcW w:w="3611" w:type="dxa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中小学校园食品安全管理分析与对策</w:t>
            </w:r>
          </w:p>
        </w:tc>
        <w:tc>
          <w:tcPr>
            <w:tcW w:w="3295" w:type="dxa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赵增科（山东大学卫生与健康服务中心主任）</w:t>
            </w:r>
          </w:p>
        </w:tc>
      </w:tr>
      <w:tr w:rsidR="00567659" w:rsidTr="00E64089">
        <w:trPr>
          <w:trHeight w:val="442"/>
          <w:jc w:val="center"/>
        </w:trPr>
        <w:tc>
          <w:tcPr>
            <w:tcW w:w="1051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5月</w:t>
            </w:r>
          </w:p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16日</w:t>
            </w: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09:00—11:30</w:t>
            </w:r>
          </w:p>
        </w:tc>
        <w:tc>
          <w:tcPr>
            <w:tcW w:w="3611" w:type="dxa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山东省中小学健康教育课程体系建设</w:t>
            </w:r>
          </w:p>
        </w:tc>
        <w:tc>
          <w:tcPr>
            <w:tcW w:w="3295" w:type="dxa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杨玉春（副研究员，管理与工程博士后、北师大中国教育政策研究院）</w:t>
            </w:r>
          </w:p>
        </w:tc>
      </w:tr>
      <w:tr w:rsidR="00567659" w:rsidTr="00E64089">
        <w:trPr>
          <w:trHeight w:val="442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14:00—17:00</w:t>
            </w:r>
          </w:p>
        </w:tc>
        <w:tc>
          <w:tcPr>
            <w:tcW w:w="3611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学校传染病防控形势与对策</w:t>
            </w:r>
          </w:p>
        </w:tc>
        <w:tc>
          <w:tcPr>
            <w:tcW w:w="3295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雷杰（主任医师，山东省政府突发事件应急管理公共卫生专家组组长，）</w:t>
            </w:r>
          </w:p>
        </w:tc>
      </w:tr>
      <w:tr w:rsidR="00567659" w:rsidTr="00E64089">
        <w:trPr>
          <w:trHeight w:val="442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3611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学校慢性非传染性疾病防控</w:t>
            </w:r>
          </w:p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形势与对策</w:t>
            </w:r>
          </w:p>
        </w:tc>
        <w:tc>
          <w:tcPr>
            <w:tcW w:w="3295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郭晓雷（副主任医师，省疾控中心慢病所所长）</w:t>
            </w:r>
          </w:p>
        </w:tc>
      </w:tr>
      <w:tr w:rsidR="00567659" w:rsidTr="00E64089">
        <w:trPr>
          <w:trHeight w:val="670"/>
          <w:jc w:val="center"/>
        </w:trPr>
        <w:tc>
          <w:tcPr>
            <w:tcW w:w="1051" w:type="dxa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5月</w:t>
            </w:r>
          </w:p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17日</w:t>
            </w: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09:00—11:30</w:t>
            </w:r>
          </w:p>
        </w:tc>
        <w:tc>
          <w:tcPr>
            <w:tcW w:w="3611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中小学校卫生监督检查工作解读</w:t>
            </w:r>
          </w:p>
        </w:tc>
        <w:tc>
          <w:tcPr>
            <w:tcW w:w="3295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董淑琴（省卫生计生监督所食品</w:t>
            </w:r>
            <w:r>
              <w:rPr>
                <w:rFonts w:ascii="汉仪书宋一简" w:eastAsia="汉仪书宋一简" w:hAnsi="仿宋_GB2312"/>
                <w:szCs w:val="21"/>
              </w:rPr>
              <w:t>安全综合管理办公室主任</w:t>
            </w:r>
            <w:r>
              <w:rPr>
                <w:rFonts w:ascii="汉仪书宋一简" w:eastAsia="汉仪书宋一简" w:hAnsi="仿宋_GB2312" w:hint="eastAsia"/>
                <w:szCs w:val="21"/>
              </w:rPr>
              <w:t>）</w:t>
            </w:r>
          </w:p>
        </w:tc>
      </w:tr>
    </w:tbl>
    <w:p w:rsidR="00567659" w:rsidRDefault="00567659" w:rsidP="00567659">
      <w:pPr>
        <w:pStyle w:val="NewNewNew"/>
        <w:jc w:val="center"/>
        <w:rPr>
          <w:rFonts w:ascii="方正小标宋简体" w:eastAsia="方正小标宋简体" w:hAnsi="方正小标宋简体" w:hint="eastAsia"/>
          <w:b/>
          <w:bCs/>
          <w:sz w:val="36"/>
        </w:rPr>
      </w:pPr>
    </w:p>
    <w:p w:rsidR="00567659" w:rsidRDefault="00567659" w:rsidP="00567659">
      <w:pPr>
        <w:pStyle w:val="NewNewNew"/>
        <w:jc w:val="center"/>
        <w:rPr>
          <w:rFonts w:hint="eastAsia"/>
        </w:rPr>
      </w:pPr>
      <w:r>
        <w:rPr>
          <w:rFonts w:ascii="方正小标宋_GBK" w:eastAsia="方正小标宋_GBK" w:hAnsi="方正小标宋简体" w:hint="eastAsia"/>
          <w:bCs/>
          <w:sz w:val="44"/>
          <w:szCs w:val="44"/>
        </w:rPr>
        <w:t>培训计划</w:t>
      </w:r>
      <w:r>
        <w:rPr>
          <w:rFonts w:ascii="仿宋_GB2312" w:eastAsia="仿宋_GB2312" w:hAnsi="仿宋_GB2312" w:hint="eastAsia"/>
          <w:sz w:val="28"/>
        </w:rPr>
        <w:t>（第二期）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897"/>
        <w:gridCol w:w="3533"/>
        <w:gridCol w:w="78"/>
        <w:gridCol w:w="3295"/>
      </w:tblGrid>
      <w:tr w:rsidR="00567659" w:rsidTr="00E64089">
        <w:trPr>
          <w:trHeight w:val="507"/>
          <w:jc w:val="center"/>
        </w:trPr>
        <w:tc>
          <w:tcPr>
            <w:tcW w:w="2948" w:type="dxa"/>
            <w:gridSpan w:val="2"/>
            <w:vAlign w:val="center"/>
          </w:tcPr>
          <w:p w:rsidR="00567659" w:rsidRDefault="00567659" w:rsidP="00E64089">
            <w:pPr>
              <w:pStyle w:val="NewNewNew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时  间</w:t>
            </w:r>
          </w:p>
        </w:tc>
        <w:tc>
          <w:tcPr>
            <w:tcW w:w="3611" w:type="dxa"/>
            <w:gridSpan w:val="2"/>
            <w:vAlign w:val="center"/>
          </w:tcPr>
          <w:p w:rsidR="00567659" w:rsidRDefault="00567659" w:rsidP="00E64089">
            <w:pPr>
              <w:pStyle w:val="NewNewNew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日  程</w:t>
            </w:r>
          </w:p>
        </w:tc>
        <w:tc>
          <w:tcPr>
            <w:tcW w:w="3295" w:type="dxa"/>
          </w:tcPr>
          <w:p w:rsidR="00567659" w:rsidRDefault="00567659" w:rsidP="00E64089">
            <w:pPr>
              <w:pStyle w:val="NewNewNew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授课人</w:t>
            </w:r>
          </w:p>
        </w:tc>
      </w:tr>
      <w:tr w:rsidR="00567659" w:rsidTr="00E64089">
        <w:trPr>
          <w:jc w:val="center"/>
        </w:trPr>
        <w:tc>
          <w:tcPr>
            <w:tcW w:w="1051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5月</w:t>
            </w:r>
          </w:p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18日</w:t>
            </w: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12：00前</w:t>
            </w:r>
          </w:p>
        </w:tc>
        <w:tc>
          <w:tcPr>
            <w:tcW w:w="6906" w:type="dxa"/>
            <w:gridSpan w:val="3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报到</w:t>
            </w:r>
          </w:p>
        </w:tc>
      </w:tr>
      <w:tr w:rsidR="00567659" w:rsidTr="00E64089">
        <w:trPr>
          <w:trHeight w:val="448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14:30—15:00</w:t>
            </w:r>
          </w:p>
        </w:tc>
        <w:tc>
          <w:tcPr>
            <w:tcW w:w="3533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开  班</w:t>
            </w:r>
          </w:p>
        </w:tc>
        <w:tc>
          <w:tcPr>
            <w:tcW w:w="3373" w:type="dxa"/>
            <w:gridSpan w:val="2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rPr>
                <w:rFonts w:ascii="汉仪书宋一简" w:eastAsia="汉仪书宋一简" w:hAnsi="仿宋_GB2312" w:hint="eastAsia"/>
                <w:szCs w:val="21"/>
              </w:rPr>
            </w:pPr>
          </w:p>
        </w:tc>
      </w:tr>
      <w:tr w:rsidR="00567659" w:rsidTr="00E64089">
        <w:trPr>
          <w:trHeight w:val="446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15:00—17:00</w:t>
            </w:r>
          </w:p>
        </w:tc>
        <w:tc>
          <w:tcPr>
            <w:tcW w:w="3533" w:type="dxa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高校食堂及校园食品安全管理</w:t>
            </w:r>
          </w:p>
        </w:tc>
        <w:tc>
          <w:tcPr>
            <w:tcW w:w="3373" w:type="dxa"/>
            <w:gridSpan w:val="2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赵增科（山东大学卫生与健康服务中心主任）</w:t>
            </w:r>
          </w:p>
        </w:tc>
      </w:tr>
      <w:tr w:rsidR="00567659" w:rsidTr="00E64089">
        <w:trPr>
          <w:trHeight w:val="404"/>
          <w:jc w:val="center"/>
        </w:trPr>
        <w:tc>
          <w:tcPr>
            <w:tcW w:w="1051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5月</w:t>
            </w:r>
          </w:p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19日</w:t>
            </w:r>
          </w:p>
        </w:tc>
        <w:tc>
          <w:tcPr>
            <w:tcW w:w="1897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09:00—11:30</w:t>
            </w:r>
          </w:p>
        </w:tc>
        <w:tc>
          <w:tcPr>
            <w:tcW w:w="3533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高校医院</w:t>
            </w:r>
            <w:r>
              <w:rPr>
                <w:rFonts w:ascii="汉仪书宋一简" w:eastAsia="汉仪书宋一简" w:hAnsi="仿宋_GB2312"/>
                <w:szCs w:val="21"/>
              </w:rPr>
              <w:t>定位和发展思路</w:t>
            </w:r>
          </w:p>
        </w:tc>
        <w:tc>
          <w:tcPr>
            <w:tcW w:w="3373" w:type="dxa"/>
            <w:gridSpan w:val="2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谢英慧（山东大学校医院院长）</w:t>
            </w:r>
          </w:p>
        </w:tc>
      </w:tr>
      <w:tr w:rsidR="00567659" w:rsidTr="00E64089">
        <w:trPr>
          <w:trHeight w:val="414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533" w:type="dxa"/>
            <w:vMerge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栗庆山（济南大学校医院院长）</w:t>
            </w:r>
          </w:p>
        </w:tc>
      </w:tr>
      <w:tr w:rsidR="00567659" w:rsidTr="00E64089">
        <w:trPr>
          <w:trHeight w:val="619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新医改背景下高校医院改革与发展--政策回顾与思考</w:t>
            </w:r>
          </w:p>
        </w:tc>
        <w:tc>
          <w:tcPr>
            <w:tcW w:w="3373" w:type="dxa"/>
            <w:gridSpan w:val="2"/>
            <w:vAlign w:val="center"/>
          </w:tcPr>
          <w:p w:rsidR="00567659" w:rsidRDefault="00567659" w:rsidP="00E64089">
            <w:pPr>
              <w:pStyle w:val="NewNewNew"/>
              <w:spacing w:line="0" w:lineRule="atLeast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吴敏（博士，省医药卫生科技信息研究所）</w:t>
            </w:r>
          </w:p>
        </w:tc>
      </w:tr>
      <w:tr w:rsidR="00567659" w:rsidTr="00E64089">
        <w:trPr>
          <w:trHeight w:val="442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14:00—17:00</w:t>
            </w:r>
          </w:p>
        </w:tc>
        <w:tc>
          <w:tcPr>
            <w:tcW w:w="3533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学校艾滋病防控形势与对策</w:t>
            </w:r>
          </w:p>
        </w:tc>
        <w:tc>
          <w:tcPr>
            <w:tcW w:w="3373" w:type="dxa"/>
            <w:gridSpan w:val="2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康殿民（主任医师，山东大学预防医学研究院副院长）</w:t>
            </w:r>
          </w:p>
        </w:tc>
      </w:tr>
      <w:tr w:rsidR="00567659" w:rsidTr="00E64089">
        <w:trPr>
          <w:trHeight w:val="442"/>
          <w:jc w:val="center"/>
        </w:trPr>
        <w:tc>
          <w:tcPr>
            <w:tcW w:w="1051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567659" w:rsidRDefault="00567659" w:rsidP="00E64089">
            <w:pPr>
              <w:pStyle w:val="NewNewNew"/>
              <w:spacing w:line="360" w:lineRule="auto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jc w:val="center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学校结核病防控形势与对策</w:t>
            </w:r>
          </w:p>
        </w:tc>
        <w:tc>
          <w:tcPr>
            <w:tcW w:w="3373" w:type="dxa"/>
            <w:gridSpan w:val="2"/>
            <w:vAlign w:val="center"/>
          </w:tcPr>
          <w:p w:rsidR="00567659" w:rsidRDefault="00567659" w:rsidP="00E64089">
            <w:pPr>
              <w:pStyle w:val="ListParagraph"/>
              <w:spacing w:line="0" w:lineRule="atLeast"/>
              <w:ind w:firstLineChars="0" w:firstLine="0"/>
              <w:rPr>
                <w:rFonts w:ascii="汉仪书宋一简" w:eastAsia="汉仪书宋一简" w:hAnsi="仿宋_GB2312" w:hint="eastAsia"/>
                <w:szCs w:val="21"/>
              </w:rPr>
            </w:pPr>
            <w:r>
              <w:rPr>
                <w:rFonts w:ascii="汉仪书宋一简" w:eastAsia="汉仪书宋一简" w:hAnsi="仿宋_GB2312" w:hint="eastAsia"/>
                <w:szCs w:val="21"/>
              </w:rPr>
              <w:t>王仕昌（主任医师，省结核病防治中心健康促进专家）</w:t>
            </w:r>
          </w:p>
        </w:tc>
      </w:tr>
    </w:tbl>
    <w:p w:rsidR="001574A2" w:rsidRPr="00567659" w:rsidRDefault="001574A2">
      <w:bookmarkStart w:id="0" w:name="_GoBack"/>
      <w:bookmarkEnd w:id="0"/>
    </w:p>
    <w:sectPr w:rsidR="001574A2" w:rsidRPr="0056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75" w:rsidRDefault="00B56275" w:rsidP="00567659">
      <w:r>
        <w:separator/>
      </w:r>
    </w:p>
  </w:endnote>
  <w:endnote w:type="continuationSeparator" w:id="0">
    <w:p w:rsidR="00B56275" w:rsidRDefault="00B56275" w:rsidP="0056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75" w:rsidRDefault="00B56275" w:rsidP="00567659">
      <w:r>
        <w:separator/>
      </w:r>
    </w:p>
  </w:footnote>
  <w:footnote w:type="continuationSeparator" w:id="0">
    <w:p w:rsidR="00B56275" w:rsidRDefault="00B56275" w:rsidP="0056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07"/>
    <w:rsid w:val="001574A2"/>
    <w:rsid w:val="00567659"/>
    <w:rsid w:val="00B56275"/>
    <w:rsid w:val="00C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67957F-2706-4074-9997-8AD2F26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659"/>
    <w:rPr>
      <w:sz w:val="18"/>
      <w:szCs w:val="18"/>
    </w:rPr>
  </w:style>
  <w:style w:type="paragraph" w:customStyle="1" w:styleId="ListParagraph">
    <w:name w:val="List Paragraph"/>
    <w:basedOn w:val="a"/>
    <w:rsid w:val="00567659"/>
    <w:pPr>
      <w:ind w:firstLineChars="200" w:firstLine="420"/>
    </w:pPr>
    <w:rPr>
      <w:rFonts w:ascii="Calibri" w:hAnsi="Calibri"/>
      <w:szCs w:val="22"/>
    </w:rPr>
  </w:style>
  <w:style w:type="paragraph" w:customStyle="1" w:styleId="NewNew">
    <w:name w:val="正文 New New"/>
    <w:rsid w:val="005676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">
    <w:name w:val="正文 New New New"/>
    <w:rsid w:val="0056765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2017-05-09T07:23:00Z</dcterms:created>
  <dcterms:modified xsi:type="dcterms:W3CDTF">2017-05-09T07:24:00Z</dcterms:modified>
</cp:coreProperties>
</file>