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Times New Roman" w:hAnsi="Times New Roman" w:eastAsia="黑体"/>
          <w:sz w:val="32"/>
          <w:szCs w:val="32"/>
        </w:rPr>
      </w:pPr>
      <w:r>
        <w:rPr>
          <w:rFonts w:ascii="Times New Roman" w:hAnsi="Times New Roman" w:eastAsia="黑体"/>
          <w:sz w:val="32"/>
          <w:szCs w:val="32"/>
        </w:rPr>
        <w:t>附件2</w:t>
      </w:r>
    </w:p>
    <w:p>
      <w:pPr>
        <w:spacing w:line="580" w:lineRule="exact"/>
        <w:rPr>
          <w:rFonts w:ascii="Times New Roman" w:hAnsi="Times New Roman" w:eastAsia="黑体"/>
          <w:b/>
          <w:sz w:val="32"/>
          <w:szCs w:val="32"/>
        </w:rPr>
      </w:pPr>
    </w:p>
    <w:p>
      <w:pPr>
        <w:spacing w:line="580" w:lineRule="exact"/>
        <w:jc w:val="center"/>
        <w:rPr>
          <w:rFonts w:ascii="Times New Roman" w:hAnsi="Times New Roman" w:eastAsia="方正小标宋简体"/>
          <w:sz w:val="44"/>
          <w:szCs w:val="44"/>
        </w:rPr>
      </w:pPr>
      <w:r>
        <w:rPr>
          <w:rFonts w:ascii="Times New Roman" w:hAnsi="Times New Roman" w:eastAsia="方正小标宋简体"/>
          <w:sz w:val="44"/>
          <w:szCs w:val="44"/>
        </w:rPr>
        <w:t xml:space="preserve">第 十 </w:t>
      </w:r>
      <w:r>
        <w:rPr>
          <w:rFonts w:hint="eastAsia" w:ascii="Times New Roman" w:hAnsi="Times New Roman" w:eastAsia="方正小标宋简体"/>
          <w:sz w:val="44"/>
          <w:szCs w:val="44"/>
        </w:rPr>
        <w:t>四</w:t>
      </w:r>
      <w:r>
        <w:rPr>
          <w:rFonts w:ascii="Times New Roman" w:hAnsi="Times New Roman" w:eastAsia="方正小标宋简体"/>
          <w:sz w:val="44"/>
          <w:szCs w:val="44"/>
        </w:rPr>
        <w:t xml:space="preserve"> 届 全 国 学 生 运 动 会</w:t>
      </w:r>
    </w:p>
    <w:p>
      <w:pPr>
        <w:spacing w:line="58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w:t>
      </w:r>
      <w:r>
        <w:rPr>
          <w:rFonts w:ascii="Times New Roman" w:hAnsi="Times New Roman" w:eastAsia="方正小标宋简体"/>
          <w:sz w:val="44"/>
          <w:szCs w:val="44"/>
        </w:rPr>
        <w:t>校长杯</w:t>
      </w:r>
      <w:r>
        <w:rPr>
          <w:rFonts w:hint="eastAsia" w:ascii="Times New Roman" w:hAnsi="Times New Roman" w:eastAsia="方正小标宋简体"/>
          <w:sz w:val="44"/>
          <w:szCs w:val="44"/>
        </w:rPr>
        <w:t>”</w:t>
      </w:r>
      <w:r>
        <w:rPr>
          <w:rFonts w:ascii="Times New Roman" w:hAnsi="Times New Roman" w:eastAsia="方正小标宋简体"/>
          <w:sz w:val="44"/>
          <w:szCs w:val="44"/>
        </w:rPr>
        <w:t>学校体育工作</w:t>
      </w:r>
    </w:p>
    <w:p>
      <w:pPr>
        <w:spacing w:line="580" w:lineRule="exact"/>
        <w:jc w:val="center"/>
        <w:rPr>
          <w:rFonts w:ascii="Times New Roman" w:hAnsi="Times New Roman" w:eastAsia="方正小标宋简体"/>
          <w:sz w:val="44"/>
          <w:szCs w:val="44"/>
        </w:rPr>
      </w:pPr>
    </w:p>
    <w:p>
      <w:pPr>
        <w:spacing w:line="580" w:lineRule="exact"/>
        <w:jc w:val="center"/>
        <w:rPr>
          <w:rFonts w:ascii="Times New Roman" w:hAnsi="Times New Roman" w:eastAsia="方正小标宋简体"/>
          <w:sz w:val="44"/>
          <w:szCs w:val="44"/>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 xml:space="preserve">自  </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评</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报</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告</w:t>
      </w:r>
    </w:p>
    <w:p>
      <w:pPr>
        <w:spacing w:line="580" w:lineRule="exact"/>
        <w:jc w:val="center"/>
        <w:rPr>
          <w:rFonts w:ascii="Times New Roman" w:hAnsi="Times New Roman" w:eastAsia="方正小标宋简体"/>
          <w:b/>
          <w:bCs/>
          <w:sz w:val="36"/>
          <w:szCs w:val="36"/>
        </w:rPr>
      </w:pPr>
    </w:p>
    <w:p>
      <w:pPr>
        <w:spacing w:line="580" w:lineRule="exact"/>
        <w:rPr>
          <w:rFonts w:ascii="Times New Roman" w:hAnsi="Times New Roman"/>
          <w:sz w:val="32"/>
          <w:szCs w:val="32"/>
        </w:rPr>
      </w:pPr>
    </w:p>
    <w:p>
      <w:pPr>
        <w:spacing w:line="580" w:lineRule="exact"/>
        <w:ind w:firstLine="1920" w:firstLineChars="600"/>
        <w:rPr>
          <w:rFonts w:ascii="Times New Roman" w:hAnsi="Times New Roman" w:eastAsia="楷体_GB2312"/>
          <w:sz w:val="32"/>
          <w:szCs w:val="32"/>
        </w:rPr>
      </w:pPr>
      <w:r>
        <w:rPr>
          <w:rFonts w:ascii="Times New Roman" w:hAnsi="Times New Roman" w:eastAsia="楷体_GB2312"/>
          <w:sz w:val="32"/>
          <w:szCs w:val="32"/>
        </w:rPr>
        <w:t>所在（省、区、市）：</w:t>
      </w:r>
      <w:r>
        <w:rPr>
          <w:rFonts w:hint="eastAsia" w:ascii="Times New Roman" w:hAnsi="Times New Roman" w:eastAsia="楷体_GB2312"/>
          <w:sz w:val="32"/>
          <w:szCs w:val="32"/>
        </w:rPr>
        <w:t>山东省</w:t>
      </w:r>
    </w:p>
    <w:p>
      <w:pPr>
        <w:spacing w:line="580" w:lineRule="exact"/>
        <w:ind w:firstLine="1920" w:firstLineChars="600"/>
        <w:jc w:val="left"/>
        <w:rPr>
          <w:rFonts w:ascii="Times New Roman" w:hAnsi="Times New Roman" w:eastAsia="楷体_GB2312"/>
          <w:sz w:val="32"/>
          <w:szCs w:val="32"/>
        </w:rPr>
      </w:pPr>
      <w:r>
        <w:rPr>
          <w:rFonts w:ascii="Times New Roman" w:hAnsi="Times New Roman" w:eastAsia="楷体_GB2312"/>
          <w:sz w:val="32"/>
          <w:szCs w:val="32"/>
        </w:rPr>
        <w:t>申 报 学 校：</w:t>
      </w:r>
      <w:r>
        <w:rPr>
          <w:rFonts w:hint="eastAsia" w:ascii="Times New Roman" w:hAnsi="Times New Roman" w:eastAsia="楷体_GB2312"/>
          <w:sz w:val="32"/>
          <w:szCs w:val="32"/>
        </w:rPr>
        <w:t>山东农业大学</w:t>
      </w:r>
      <w:r>
        <w:rPr>
          <w:rFonts w:ascii="Times New Roman" w:hAnsi="Times New Roman" w:eastAsia="楷体_GB2312"/>
          <w:sz w:val="32"/>
          <w:szCs w:val="32"/>
        </w:rPr>
        <w:t xml:space="preserve">   （盖 章） </w:t>
      </w:r>
    </w:p>
    <w:p>
      <w:pPr>
        <w:spacing w:line="580" w:lineRule="exact"/>
        <w:ind w:firstLine="1920" w:firstLineChars="600"/>
        <w:rPr>
          <w:rFonts w:ascii="Times New Roman" w:hAnsi="Times New Roman" w:eastAsia="楷体_GB2312"/>
          <w:sz w:val="32"/>
          <w:szCs w:val="32"/>
          <w:u w:val="single"/>
        </w:rPr>
      </w:pPr>
      <w:r>
        <w:rPr>
          <w:rFonts w:ascii="Times New Roman" w:hAnsi="Times New Roman" w:eastAsia="楷体_GB2312"/>
          <w:sz w:val="32"/>
          <w:szCs w:val="32"/>
        </w:rPr>
        <w:t>负   责  人：司金贵</w:t>
      </w:r>
    </w:p>
    <w:p>
      <w:pPr>
        <w:spacing w:line="580" w:lineRule="exact"/>
        <w:ind w:firstLine="1984" w:firstLineChars="620"/>
        <w:rPr>
          <w:rFonts w:ascii="Times New Roman" w:hAnsi="Times New Roman" w:eastAsia="楷体_GB2312"/>
          <w:sz w:val="32"/>
          <w:szCs w:val="32"/>
          <w:u w:val="single"/>
        </w:rPr>
      </w:pPr>
      <w:r>
        <w:rPr>
          <w:rFonts w:ascii="Times New Roman" w:hAnsi="Times New Roman" w:eastAsia="楷体_GB2312"/>
          <w:sz w:val="32"/>
          <w:szCs w:val="32"/>
        </w:rPr>
        <w:t>联 系 方 式：</w:t>
      </w:r>
      <w:r>
        <w:rPr>
          <w:rFonts w:hint="eastAsia" w:ascii="Times New Roman" w:hAnsi="Times New Roman" w:eastAsia="楷体_GB2312"/>
          <w:sz w:val="32"/>
          <w:szCs w:val="32"/>
          <w:lang w:val="en-US" w:eastAsia="zh-CN"/>
        </w:rPr>
        <w:t>*********</w:t>
      </w:r>
    </w:p>
    <w:p>
      <w:pPr>
        <w:spacing w:line="580" w:lineRule="exact"/>
        <w:ind w:firstLine="1920" w:firstLineChars="600"/>
        <w:rPr>
          <w:rFonts w:ascii="Times New Roman" w:hAnsi="Times New Roman" w:eastAsia="楷体_GB2312"/>
          <w:sz w:val="32"/>
          <w:szCs w:val="32"/>
          <w:u w:val="single"/>
        </w:rPr>
      </w:pPr>
      <w:r>
        <w:rPr>
          <w:rFonts w:ascii="Times New Roman" w:hAnsi="Times New Roman" w:eastAsia="楷体_GB2312"/>
          <w:sz w:val="32"/>
          <w:szCs w:val="32"/>
          <w:u w:val="single"/>
        </w:rPr>
        <w:t xml:space="preserve">                      </w:t>
      </w:r>
    </w:p>
    <w:p>
      <w:pPr>
        <w:spacing w:line="580" w:lineRule="exact"/>
        <w:ind w:firstLine="1606" w:firstLineChars="500"/>
        <w:rPr>
          <w:rFonts w:ascii="Times New Roman" w:hAnsi="Times New Roman" w:eastAsia="楷体_GB2312"/>
          <w:b/>
          <w:sz w:val="32"/>
          <w:szCs w:val="32"/>
        </w:rPr>
      </w:pPr>
      <w:r>
        <w:rPr>
          <w:rFonts w:ascii="Times New Roman" w:hAnsi="Times New Roman" w:eastAsia="楷体_GB2312"/>
          <w:b/>
          <w:sz w:val="32"/>
          <w:szCs w:val="32"/>
        </w:rPr>
        <w:t>第十四届全国学生运动会</w:t>
      </w:r>
      <w:r>
        <w:rPr>
          <w:rFonts w:hint="eastAsia" w:ascii="Times New Roman" w:hAnsi="Times New Roman" w:eastAsia="楷体_GB2312"/>
          <w:b/>
          <w:sz w:val="32"/>
          <w:szCs w:val="32"/>
        </w:rPr>
        <w:t>筹委</w:t>
      </w:r>
      <w:r>
        <w:rPr>
          <w:rFonts w:ascii="Times New Roman" w:hAnsi="Times New Roman" w:eastAsia="楷体_GB2312"/>
          <w:b/>
          <w:sz w:val="32"/>
          <w:szCs w:val="32"/>
        </w:rPr>
        <w:t>会编制</w:t>
      </w:r>
    </w:p>
    <w:p>
      <w:pPr>
        <w:spacing w:line="580" w:lineRule="exact"/>
        <w:jc w:val="center"/>
        <w:rPr>
          <w:rFonts w:ascii="Times New Roman" w:hAnsi="Times New Roman"/>
          <w:b/>
          <w:sz w:val="32"/>
          <w:szCs w:val="32"/>
        </w:rPr>
      </w:pPr>
      <w:r>
        <w:rPr>
          <w:rFonts w:ascii="Times New Roman" w:hAnsi="Times New Roman" w:eastAsia="楷体_GB2312"/>
          <w:b/>
          <w:bCs/>
          <w:sz w:val="32"/>
          <w:szCs w:val="32"/>
        </w:rPr>
        <w:t>二</w:t>
      </w:r>
      <w:r>
        <w:rPr>
          <w:rFonts w:ascii="Times New Roman" w:hAnsi="Times New Roman"/>
          <w:b/>
          <w:bCs/>
          <w:sz w:val="32"/>
          <w:szCs w:val="32"/>
        </w:rPr>
        <w:t>〇</w:t>
      </w:r>
      <w:r>
        <w:rPr>
          <w:rFonts w:hint="eastAsia" w:ascii="Times New Roman" w:hAnsi="Times New Roman" w:eastAsia="楷体_GB2312"/>
          <w:b/>
          <w:bCs/>
          <w:sz w:val="32"/>
          <w:szCs w:val="32"/>
        </w:rPr>
        <w:t>二一</w:t>
      </w:r>
      <w:r>
        <w:rPr>
          <w:rFonts w:ascii="Times New Roman" w:hAnsi="Times New Roman" w:eastAsia="楷体_GB2312"/>
          <w:b/>
          <w:bCs/>
          <w:sz w:val="32"/>
          <w:szCs w:val="32"/>
        </w:rPr>
        <w:t>年七月三日</w:t>
      </w:r>
    </w:p>
    <w:p>
      <w:pPr>
        <w:snapToGrid w:val="0"/>
        <w:spacing w:line="560" w:lineRule="exact"/>
        <w:ind w:firstLine="320"/>
        <w:rPr>
          <w:rFonts w:ascii="Times New Roman" w:hAnsi="Times New Roman" w:eastAsia="仿宋_GB2312"/>
          <w:b/>
          <w:sz w:val="24"/>
          <w:szCs w:val="24"/>
        </w:rPr>
      </w:pPr>
      <w:r>
        <w:rPr>
          <w:rFonts w:ascii="Times New Roman" w:hAnsi="Times New Roman" w:eastAsia="仿宋_GB2312"/>
          <w:sz w:val="32"/>
          <w:szCs w:val="32"/>
        </w:rPr>
        <w:br w:type="page"/>
      </w:r>
      <w:r>
        <w:rPr>
          <w:rFonts w:ascii="Times New Roman" w:hAnsi="Times New Roman" w:eastAsia="仿宋_GB2312"/>
          <w:b/>
          <w:sz w:val="24"/>
          <w:szCs w:val="24"/>
        </w:rPr>
        <w:t>一、简表</w:t>
      </w:r>
    </w:p>
    <w:tbl>
      <w:tblPr>
        <w:tblStyle w:val="4"/>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440"/>
        <w:gridCol w:w="464"/>
        <w:gridCol w:w="1408"/>
        <w:gridCol w:w="90"/>
        <w:gridCol w:w="18"/>
        <w:gridCol w:w="900"/>
        <w:gridCol w:w="360"/>
        <w:gridCol w:w="360"/>
        <w:gridCol w:w="7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省（区、市）</w:t>
            </w:r>
          </w:p>
        </w:tc>
        <w:tc>
          <w:tcPr>
            <w:tcW w:w="7452" w:type="dxa"/>
            <w:gridSpan w:val="10"/>
            <w:shd w:val="clear" w:color="auto" w:fill="auto"/>
            <w:vAlign w:val="center"/>
          </w:tcPr>
          <w:p>
            <w:pPr>
              <w:jc w:val="center"/>
              <w:rPr>
                <w:rFonts w:ascii="Times New Roman" w:hAnsi="Times New Roman" w:eastAsia="仿宋_GB2312"/>
                <w:sz w:val="28"/>
                <w:szCs w:val="28"/>
              </w:rPr>
            </w:pPr>
            <w:r>
              <w:rPr>
                <w:rFonts w:hint="eastAsia" w:ascii="Times New Roman" w:hAnsi="Times New Roman" w:eastAsia="仿宋_GB2312"/>
                <w:sz w:val="28"/>
                <w:szCs w:val="28"/>
              </w:rPr>
              <w:t>山东省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学校名称</w:t>
            </w:r>
          </w:p>
        </w:tc>
        <w:tc>
          <w:tcPr>
            <w:tcW w:w="7452" w:type="dxa"/>
            <w:gridSpan w:val="10"/>
            <w:shd w:val="clear" w:color="auto" w:fill="auto"/>
            <w:vAlign w:val="center"/>
          </w:tcPr>
          <w:p>
            <w:pPr>
              <w:jc w:val="center"/>
              <w:rPr>
                <w:rFonts w:ascii="Times New Roman" w:hAnsi="Times New Roman" w:eastAsia="仿宋_GB2312"/>
                <w:sz w:val="28"/>
                <w:szCs w:val="28"/>
              </w:rPr>
            </w:pPr>
            <w:r>
              <w:rPr>
                <w:rFonts w:hint="eastAsia" w:ascii="Times New Roman" w:hAnsi="Times New Roman" w:eastAsia="仿宋_GB2312"/>
                <w:sz w:val="28"/>
                <w:szCs w:val="28"/>
              </w:rPr>
              <w:t>山东农业大学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学校地址</w:t>
            </w:r>
          </w:p>
        </w:tc>
        <w:tc>
          <w:tcPr>
            <w:tcW w:w="432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8"/>
                <w:szCs w:val="28"/>
              </w:rPr>
              <w:t>山东省泰安市岱宗大街61号</w:t>
            </w:r>
          </w:p>
        </w:tc>
        <w:tc>
          <w:tcPr>
            <w:tcW w:w="720"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邮编</w:t>
            </w:r>
          </w:p>
        </w:tc>
        <w:tc>
          <w:tcPr>
            <w:tcW w:w="2412" w:type="dxa"/>
            <w:gridSpan w:val="2"/>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8"/>
                <w:szCs w:val="28"/>
              </w:rPr>
              <w:t>271018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学校领导</w:t>
            </w:r>
          </w:p>
          <w:p>
            <w:pPr>
              <w:jc w:val="center"/>
              <w:rPr>
                <w:rFonts w:ascii="Times New Roman" w:hAnsi="Times New Roman" w:eastAsia="仿宋_GB2312"/>
                <w:sz w:val="24"/>
                <w:szCs w:val="24"/>
              </w:rPr>
            </w:pPr>
            <w:r>
              <w:rPr>
                <w:rFonts w:ascii="Times New Roman" w:hAnsi="Times New Roman" w:eastAsia="仿宋_GB2312"/>
                <w:sz w:val="24"/>
                <w:szCs w:val="24"/>
              </w:rPr>
              <w:t>姓   名</w:t>
            </w:r>
          </w:p>
        </w:tc>
        <w:tc>
          <w:tcPr>
            <w:tcW w:w="1904"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8"/>
                <w:szCs w:val="28"/>
              </w:rPr>
              <w:t>司金贵</w:t>
            </w:r>
          </w:p>
        </w:tc>
        <w:tc>
          <w:tcPr>
            <w:tcW w:w="1516" w:type="dxa"/>
            <w:gridSpan w:val="3"/>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电话（传真）</w:t>
            </w:r>
          </w:p>
        </w:tc>
        <w:tc>
          <w:tcPr>
            <w:tcW w:w="4032" w:type="dxa"/>
            <w:gridSpan w:val="5"/>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548" w:type="dxa"/>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联系人</w:t>
            </w:r>
          </w:p>
          <w:p>
            <w:pPr>
              <w:jc w:val="center"/>
              <w:rPr>
                <w:rFonts w:ascii="Times New Roman" w:hAnsi="Times New Roman" w:eastAsia="仿宋_GB2312"/>
                <w:sz w:val="24"/>
                <w:szCs w:val="24"/>
              </w:rPr>
            </w:pPr>
            <w:r>
              <w:rPr>
                <w:rFonts w:ascii="Times New Roman" w:hAnsi="Times New Roman" w:eastAsia="仿宋_GB2312"/>
                <w:sz w:val="24"/>
                <w:szCs w:val="24"/>
              </w:rPr>
              <w:t>姓  名</w:t>
            </w:r>
          </w:p>
        </w:tc>
        <w:tc>
          <w:tcPr>
            <w:tcW w:w="1904" w:type="dxa"/>
            <w:gridSpan w:val="2"/>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8"/>
                <w:szCs w:val="28"/>
              </w:rPr>
              <w:t>郑</w:t>
            </w:r>
            <w:r>
              <w:rPr>
                <w:rFonts w:hint="eastAsia" w:ascii="Times New Roman" w:hAnsi="Times New Roman" w:eastAsia="仿宋_GB2312"/>
                <w:sz w:val="28"/>
                <w:szCs w:val="28"/>
              </w:rPr>
              <w:t xml:space="preserve">  </w:t>
            </w:r>
            <w:r>
              <w:rPr>
                <w:rFonts w:ascii="Times New Roman" w:hAnsi="Times New Roman" w:eastAsia="仿宋_GB2312"/>
                <w:sz w:val="28"/>
                <w:szCs w:val="28"/>
              </w:rPr>
              <w:t>峰</w:t>
            </w:r>
          </w:p>
        </w:tc>
        <w:tc>
          <w:tcPr>
            <w:tcW w:w="1498"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电话（传真）</w:t>
            </w:r>
          </w:p>
        </w:tc>
        <w:tc>
          <w:tcPr>
            <w:tcW w:w="405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548" w:type="dxa"/>
            <w:vMerge w:val="continue"/>
            <w:shd w:val="clear" w:color="auto" w:fill="auto"/>
          </w:tcPr>
          <w:p>
            <w:pPr>
              <w:rPr>
                <w:rFonts w:ascii="Times New Roman" w:hAnsi="Times New Roman" w:eastAsia="仿宋_GB2312"/>
                <w:sz w:val="24"/>
                <w:szCs w:val="24"/>
              </w:rPr>
            </w:pPr>
          </w:p>
        </w:tc>
        <w:tc>
          <w:tcPr>
            <w:tcW w:w="1904" w:type="dxa"/>
            <w:gridSpan w:val="2"/>
            <w:vMerge w:val="continue"/>
            <w:shd w:val="clear" w:color="auto" w:fill="auto"/>
          </w:tcPr>
          <w:p>
            <w:pPr>
              <w:rPr>
                <w:rFonts w:ascii="Times New Roman" w:hAnsi="Times New Roman" w:eastAsia="仿宋_GB2312"/>
                <w:sz w:val="24"/>
                <w:szCs w:val="24"/>
              </w:rPr>
            </w:pPr>
          </w:p>
        </w:tc>
        <w:tc>
          <w:tcPr>
            <w:tcW w:w="1498"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手  机</w:t>
            </w:r>
          </w:p>
        </w:tc>
        <w:tc>
          <w:tcPr>
            <w:tcW w:w="405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楷体_GB2312"/>
                <w:sz w:val="32"/>
                <w:szCs w:val="3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自评报告</w:t>
            </w:r>
          </w:p>
        </w:tc>
        <w:tc>
          <w:tcPr>
            <w:tcW w:w="3420" w:type="dxa"/>
            <w:gridSpan w:val="5"/>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（支撑材料可另附）</w:t>
            </w:r>
          </w:p>
        </w:tc>
        <w:tc>
          <w:tcPr>
            <w:tcW w:w="1260"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自评得分</w:t>
            </w:r>
          </w:p>
        </w:tc>
        <w:tc>
          <w:tcPr>
            <w:tcW w:w="2772" w:type="dxa"/>
            <w:gridSpan w:val="3"/>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8"/>
                <w:szCs w:val="28"/>
              </w:rPr>
              <w:t>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4"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学校意见</w:t>
            </w:r>
          </w:p>
        </w:tc>
        <w:tc>
          <w:tcPr>
            <w:tcW w:w="7452" w:type="dxa"/>
            <w:gridSpan w:val="10"/>
            <w:shd w:val="clear" w:color="auto" w:fill="auto"/>
          </w:tcPr>
          <w:p>
            <w:pPr>
              <w:rPr>
                <w:rFonts w:ascii="Times New Roman" w:hAnsi="Times New Roman" w:eastAsia="仿宋_GB2312"/>
                <w:sz w:val="24"/>
                <w:szCs w:val="24"/>
              </w:rPr>
            </w:pPr>
          </w:p>
          <w:p>
            <w:pPr>
              <w:rPr>
                <w:rFonts w:ascii="Times New Roman" w:hAnsi="Times New Roman" w:eastAsia="仿宋_GB2312"/>
                <w:sz w:val="24"/>
                <w:szCs w:val="24"/>
              </w:rPr>
            </w:pPr>
          </w:p>
          <w:p>
            <w:pPr>
              <w:ind w:firstLine="2700" w:firstLineChars="900"/>
              <w:jc w:val="both"/>
              <w:rPr>
                <w:rFonts w:hint="eastAsia" w:ascii="Times New Roman" w:hAnsi="Times New Roman" w:eastAsia="仿宋_GB2312"/>
                <w:sz w:val="30"/>
                <w:szCs w:val="30"/>
                <w:lang w:val="en-US" w:eastAsia="zh-CN"/>
              </w:rPr>
            </w:pPr>
            <w:r>
              <w:rPr>
                <w:rFonts w:hint="eastAsia" w:ascii="Times New Roman" w:hAnsi="Times New Roman" w:eastAsia="仿宋_GB2312"/>
                <w:sz w:val="30"/>
                <w:szCs w:val="30"/>
                <w:lang w:val="en-US" w:eastAsia="zh-CN"/>
              </w:rPr>
              <w:t>同意申报</w:t>
            </w:r>
          </w:p>
          <w:p>
            <w:pPr>
              <w:rPr>
                <w:rFonts w:ascii="Times New Roman" w:hAnsi="Times New Roman" w:eastAsia="仿宋_GB2312"/>
                <w:sz w:val="24"/>
                <w:szCs w:val="24"/>
              </w:rPr>
            </w:pPr>
            <w:bookmarkStart w:id="0" w:name="_GoBack"/>
            <w:bookmarkEnd w:id="0"/>
          </w:p>
          <w:p>
            <w:pPr>
              <w:rPr>
                <w:rFonts w:ascii="Times New Roman" w:hAnsi="Times New Roman" w:eastAsia="仿宋_GB2312"/>
                <w:sz w:val="24"/>
                <w:szCs w:val="24"/>
              </w:rPr>
            </w:pPr>
            <w:r>
              <w:rPr>
                <w:rFonts w:ascii="Times New Roman" w:hAnsi="Times New Roman" w:eastAsia="仿宋_GB2312"/>
                <w:sz w:val="24"/>
                <w:szCs w:val="24"/>
              </w:rPr>
              <w:t xml:space="preserve">                                  </w:t>
            </w: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r>
              <w:rPr>
                <w:rFonts w:ascii="Times New Roman" w:hAnsi="Times New Roman" w:eastAsia="仿宋_GB2312"/>
                <w:sz w:val="24"/>
                <w:szCs w:val="24"/>
              </w:rPr>
              <w:t xml:space="preserve">   </w:t>
            </w:r>
          </w:p>
          <w:p>
            <w:pPr>
              <w:ind w:firstLine="4800" w:firstLineChars="2000"/>
              <w:rPr>
                <w:rFonts w:ascii="Times New Roman" w:hAnsi="Times New Roman" w:eastAsia="仿宋_GB2312"/>
                <w:sz w:val="24"/>
                <w:szCs w:val="24"/>
              </w:rPr>
            </w:pPr>
            <w:r>
              <w:rPr>
                <w:rFonts w:ascii="Times New Roman" w:hAnsi="Times New Roman" w:eastAsia="仿宋_GB2312"/>
                <w:sz w:val="24"/>
                <w:szCs w:val="24"/>
              </w:rPr>
              <w:t xml:space="preserve">  学校签章</w:t>
            </w:r>
          </w:p>
          <w:p>
            <w:pPr>
              <w:rPr>
                <w:rFonts w:ascii="Times New Roman" w:hAnsi="Times New Roman" w:eastAsia="仿宋_GB2312"/>
                <w:sz w:val="24"/>
                <w:szCs w:val="24"/>
              </w:rPr>
            </w:pPr>
            <w:r>
              <w:rPr>
                <w:rFonts w:ascii="Times New Roman" w:hAnsi="Times New Roman" w:eastAsia="仿宋_GB2312"/>
                <w:sz w:val="24"/>
                <w:szCs w:val="24"/>
              </w:rPr>
              <w:t xml:space="preserve">                                 二○</w:t>
            </w:r>
            <w:r>
              <w:rPr>
                <w:rFonts w:hint="eastAsia" w:ascii="Times New Roman" w:hAnsi="Times New Roman" w:eastAsia="仿宋_GB2312"/>
                <w:sz w:val="24"/>
                <w:szCs w:val="24"/>
              </w:rPr>
              <w:t>二一</w:t>
            </w:r>
            <w:r>
              <w:rPr>
                <w:rFonts w:ascii="Times New Roman" w:hAnsi="Times New Roman" w:eastAsia="仿宋_GB2312"/>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548" w:type="dxa"/>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省级教育行政部门意见</w:t>
            </w:r>
          </w:p>
        </w:tc>
        <w:tc>
          <w:tcPr>
            <w:tcW w:w="1440" w:type="dxa"/>
            <w:shd w:val="clear" w:color="auto" w:fill="auto"/>
          </w:tcPr>
          <w:p>
            <w:pPr>
              <w:spacing w:before="218" w:beforeLines="70"/>
              <w:jc w:val="center"/>
              <w:rPr>
                <w:rFonts w:ascii="Times New Roman" w:hAnsi="Times New Roman" w:eastAsia="仿宋_GB2312"/>
                <w:sz w:val="24"/>
                <w:szCs w:val="24"/>
              </w:rPr>
            </w:pPr>
            <w:r>
              <w:rPr>
                <w:rFonts w:ascii="Times New Roman" w:hAnsi="Times New Roman" w:eastAsia="仿宋_GB2312"/>
                <w:sz w:val="24"/>
                <w:szCs w:val="24"/>
              </w:rPr>
              <w:t>初评分数</w:t>
            </w:r>
          </w:p>
        </w:tc>
        <w:tc>
          <w:tcPr>
            <w:tcW w:w="1872" w:type="dxa"/>
            <w:gridSpan w:val="2"/>
            <w:shd w:val="clear" w:color="auto" w:fill="auto"/>
          </w:tcPr>
          <w:p>
            <w:pPr>
              <w:rPr>
                <w:rFonts w:ascii="Times New Roman" w:hAnsi="Times New Roman" w:eastAsia="仿宋_GB2312"/>
                <w:sz w:val="24"/>
                <w:szCs w:val="24"/>
              </w:rPr>
            </w:pPr>
          </w:p>
        </w:tc>
        <w:tc>
          <w:tcPr>
            <w:tcW w:w="1800" w:type="dxa"/>
            <w:gridSpan w:val="6"/>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本省（区、市）</w:t>
            </w:r>
          </w:p>
          <w:p>
            <w:pPr>
              <w:jc w:val="center"/>
              <w:rPr>
                <w:rFonts w:ascii="Times New Roman" w:hAnsi="Times New Roman" w:eastAsia="仿宋_GB2312"/>
                <w:sz w:val="24"/>
                <w:szCs w:val="24"/>
              </w:rPr>
            </w:pPr>
            <w:r>
              <w:rPr>
                <w:rFonts w:ascii="Times New Roman" w:hAnsi="Times New Roman" w:eastAsia="仿宋_GB2312"/>
                <w:sz w:val="24"/>
                <w:szCs w:val="24"/>
              </w:rPr>
              <w:t>排名次</w:t>
            </w:r>
          </w:p>
        </w:tc>
        <w:tc>
          <w:tcPr>
            <w:tcW w:w="2340" w:type="dxa"/>
            <w:shd w:val="clear" w:color="auto" w:fill="auto"/>
          </w:tcPr>
          <w:p>
            <w:pP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trPr>
        <w:tc>
          <w:tcPr>
            <w:tcW w:w="1548" w:type="dxa"/>
            <w:vMerge w:val="continue"/>
            <w:shd w:val="clear" w:color="auto" w:fill="auto"/>
            <w:vAlign w:val="center"/>
          </w:tcPr>
          <w:p>
            <w:pPr>
              <w:jc w:val="center"/>
              <w:rPr>
                <w:rFonts w:ascii="Times New Roman" w:hAnsi="Times New Roman" w:eastAsia="仿宋_GB2312"/>
                <w:sz w:val="24"/>
                <w:szCs w:val="24"/>
              </w:rPr>
            </w:pPr>
          </w:p>
        </w:tc>
        <w:tc>
          <w:tcPr>
            <w:tcW w:w="7452" w:type="dxa"/>
            <w:gridSpan w:val="10"/>
            <w:shd w:val="clear" w:color="auto" w:fill="auto"/>
          </w:tcPr>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ind w:firstLine="5040" w:firstLineChars="2100"/>
              <w:rPr>
                <w:rFonts w:ascii="Times New Roman" w:hAnsi="Times New Roman" w:eastAsia="仿宋_GB2312"/>
                <w:sz w:val="24"/>
                <w:szCs w:val="24"/>
              </w:rPr>
            </w:pPr>
            <w:r>
              <w:rPr>
                <w:rFonts w:ascii="Times New Roman" w:hAnsi="Times New Roman" w:eastAsia="仿宋_GB2312"/>
                <w:sz w:val="24"/>
                <w:szCs w:val="24"/>
              </w:rPr>
              <w:t>签  章</w:t>
            </w:r>
          </w:p>
          <w:p>
            <w:pPr>
              <w:ind w:firstLine="4320" w:firstLineChars="1800"/>
              <w:rPr>
                <w:rFonts w:ascii="Times New Roman" w:hAnsi="Times New Roman" w:eastAsia="仿宋_GB2312"/>
                <w:sz w:val="24"/>
                <w:szCs w:val="24"/>
              </w:rPr>
            </w:pPr>
            <w:r>
              <w:rPr>
                <w:rFonts w:ascii="Times New Roman" w:hAnsi="Times New Roman" w:eastAsia="仿宋_GB2312"/>
                <w:sz w:val="24"/>
                <w:szCs w:val="24"/>
              </w:rPr>
              <w:t>二○</w:t>
            </w:r>
            <w:r>
              <w:rPr>
                <w:rFonts w:hint="eastAsia" w:ascii="Times New Roman" w:hAnsi="Times New Roman" w:eastAsia="仿宋_GB2312"/>
                <w:sz w:val="24"/>
                <w:szCs w:val="24"/>
              </w:rPr>
              <w:t>二一</w:t>
            </w:r>
            <w:r>
              <w:rPr>
                <w:rFonts w:ascii="Times New Roman" w:hAnsi="Times New Roman" w:eastAsia="仿宋_GB2312"/>
                <w:sz w:val="24"/>
                <w:szCs w:val="24"/>
              </w:rPr>
              <w:t xml:space="preserve">年   月    日  </w:t>
            </w:r>
          </w:p>
        </w:tc>
      </w:tr>
    </w:tbl>
    <w:p>
      <w:pPr>
        <w:snapToGrid w:val="0"/>
        <w:spacing w:line="560" w:lineRule="exact"/>
        <w:rPr>
          <w:rFonts w:ascii="Times New Roman" w:hAnsi="Times New Roman" w:eastAsia="仿宋_GB2312"/>
          <w:b/>
          <w:sz w:val="24"/>
          <w:szCs w:val="24"/>
        </w:rPr>
      </w:pPr>
    </w:p>
    <w:p>
      <w:pPr>
        <w:snapToGrid w:val="0"/>
        <w:spacing w:line="560" w:lineRule="exact"/>
        <w:rPr>
          <w:rFonts w:ascii="Times New Roman" w:hAnsi="Times New Roman" w:eastAsia="仿宋_GB2312"/>
          <w:b/>
          <w:sz w:val="24"/>
          <w:szCs w:val="24"/>
        </w:rPr>
      </w:pPr>
      <w:r>
        <w:rPr>
          <w:rFonts w:ascii="Times New Roman" w:hAnsi="Times New Roman" w:eastAsia="仿宋_GB2312"/>
          <w:b/>
          <w:sz w:val="24"/>
          <w:szCs w:val="24"/>
        </w:rPr>
        <w:t>二、评分内容</w:t>
      </w:r>
    </w:p>
    <w:tbl>
      <w:tblPr>
        <w:tblStyle w:val="4"/>
        <w:tblW w:w="10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72"/>
        <w:gridCol w:w="3648"/>
        <w:gridCol w:w="449"/>
        <w:gridCol w:w="447"/>
        <w:gridCol w:w="678"/>
        <w:gridCol w:w="969"/>
        <w:gridCol w:w="680"/>
        <w:gridCol w:w="570"/>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评价</w:t>
            </w:r>
          </w:p>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指标</w:t>
            </w:r>
          </w:p>
        </w:tc>
        <w:tc>
          <w:tcPr>
            <w:tcW w:w="4820" w:type="dxa"/>
            <w:gridSpan w:val="2"/>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300" w:lineRule="exact"/>
              <w:jc w:val="center"/>
              <w:rPr>
                <w:rFonts w:ascii="Times New Roman" w:hAnsi="Times New Roman" w:eastAsia="仿宋_GB2312"/>
                <w:szCs w:val="21"/>
              </w:rPr>
            </w:pPr>
            <w:r>
              <w:rPr>
                <w:rFonts w:ascii="Times New Roman" w:hAnsi="Times New Roman" w:eastAsia="仿宋_GB2312"/>
                <w:b/>
                <w:szCs w:val="21"/>
              </w:rPr>
              <w:t>分配(M)</w:t>
            </w:r>
          </w:p>
        </w:tc>
        <w:tc>
          <w:tcPr>
            <w:tcW w:w="2897" w:type="dxa"/>
            <w:gridSpan w:val="4"/>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评分等级(K)</w:t>
            </w:r>
          </w:p>
        </w:tc>
        <w:tc>
          <w:tcPr>
            <w:tcW w:w="656" w:type="dxa"/>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4820"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A</w:t>
            </w:r>
          </w:p>
        </w:tc>
        <w:tc>
          <w:tcPr>
            <w:tcW w:w="969"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B</w:t>
            </w:r>
          </w:p>
        </w:tc>
        <w:tc>
          <w:tcPr>
            <w:tcW w:w="68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C</w:t>
            </w:r>
          </w:p>
        </w:tc>
        <w:tc>
          <w:tcPr>
            <w:tcW w:w="570" w:type="dxa"/>
            <w:shd w:val="clear" w:color="auto" w:fill="auto"/>
          </w:tcPr>
          <w:p>
            <w:pPr>
              <w:spacing w:line="300" w:lineRule="exact"/>
              <w:jc w:val="center"/>
              <w:rPr>
                <w:rFonts w:ascii="Times New Roman" w:hAnsi="Times New Roman" w:eastAsia="仿宋_GB2312"/>
                <w:b/>
                <w:szCs w:val="21"/>
              </w:rPr>
            </w:pPr>
            <w:r>
              <w:rPr>
                <w:rFonts w:ascii="Times New Roman" w:hAnsi="Times New Roman" w:eastAsia="仿宋_GB2312"/>
                <w:b/>
                <w:szCs w:val="21"/>
              </w:rPr>
              <w:t>D</w:t>
            </w:r>
          </w:p>
        </w:tc>
        <w:tc>
          <w:tcPr>
            <w:tcW w:w="656" w:type="dxa"/>
            <w:vMerge w:val="continue"/>
            <w:shd w:val="clear" w:color="auto" w:fill="auto"/>
          </w:tcPr>
          <w:p>
            <w:pPr>
              <w:spacing w:line="30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4820"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1.0</w:t>
            </w:r>
          </w:p>
        </w:tc>
        <w:tc>
          <w:tcPr>
            <w:tcW w:w="969"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0.6</w:t>
            </w:r>
          </w:p>
        </w:tc>
        <w:tc>
          <w:tcPr>
            <w:tcW w:w="68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0.2</w:t>
            </w:r>
          </w:p>
        </w:tc>
        <w:tc>
          <w:tcPr>
            <w:tcW w:w="57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0．0</w:t>
            </w:r>
          </w:p>
        </w:tc>
        <w:tc>
          <w:tcPr>
            <w:tcW w:w="656" w:type="dxa"/>
            <w:vMerge w:val="continue"/>
            <w:shd w:val="clear" w:color="auto" w:fill="auto"/>
          </w:tcPr>
          <w:p>
            <w:pPr>
              <w:spacing w:line="30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组</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织</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领</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导</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10分</w:t>
            </w: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组织机构</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设置有学校体育工作领导机构，人员配备完备，分工明确。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体育部（体育教学部）建制完善，职能健全。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校内各院（系）是否有人专门负责学生体育工作</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领导重视</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是否明确学校主要负责人为学生体质健康的第一责任人。</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每年召开2次以上以学校体育工作为主题的校长办公会议。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&gt;2</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规章制度</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学校体育发展是否已明确列入学校“十</w:t>
            </w:r>
            <w:r>
              <w:rPr>
                <w:rFonts w:hint="eastAsia" w:ascii="Times New Roman" w:hAnsi="Times New Roman" w:eastAsia="仿宋_GB2312"/>
                <w:szCs w:val="21"/>
              </w:rPr>
              <w:t>四</w:t>
            </w:r>
            <w:r>
              <w:rPr>
                <w:rFonts w:ascii="Times New Roman" w:hAnsi="Times New Roman" w:eastAsia="仿宋_GB2312"/>
                <w:szCs w:val="21"/>
              </w:rPr>
              <w:t>五”规划内容。</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pacing w:val="-26"/>
                <w:szCs w:val="21"/>
              </w:rPr>
            </w:pPr>
            <w:r>
              <w:rPr>
                <w:rFonts w:ascii="Times New Roman" w:hAnsi="Times New Roman" w:eastAsia="仿宋_GB2312"/>
                <w:spacing w:val="-26"/>
                <w:szCs w:val="21"/>
              </w:rPr>
              <w:t>不明确</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有关学校体育教学、课外活动、训练、竞赛、场馆设施、学生体质健康等方面的教学文件配套齐全。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体</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育</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教</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学</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25分</w:t>
            </w: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课程设置</w:t>
            </w:r>
          </w:p>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教学内容丰富，有针对性，对提高学生体质和养成终身体育锻炼习惯有积极作用。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10</w:t>
            </w: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本科1-2年级开课不少于144学时（N）</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N≥144</w:t>
            </w:r>
          </w:p>
        </w:tc>
        <w:tc>
          <w:tcPr>
            <w:tcW w:w="969"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144&gt;N≥130</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26"/>
                <w:szCs w:val="21"/>
              </w:rPr>
              <w:t>N&lt;130</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是否为学生开设体育选修课</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选修课范围是否包括本科生和研究生</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仅本科生</w:t>
            </w:r>
          </w:p>
        </w:tc>
        <w:tc>
          <w:tcPr>
            <w:tcW w:w="680"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仅研</w:t>
            </w:r>
          </w:p>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究生</w:t>
            </w:r>
          </w:p>
        </w:tc>
        <w:tc>
          <w:tcPr>
            <w:tcW w:w="570"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教学质量及监控</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体育技术教学课班额人数（N）</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15</w:t>
            </w: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N≤35</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45</w:t>
            </w:r>
            <w:r>
              <w:rPr>
                <w:rFonts w:ascii="Times New Roman" w:hAnsi="Times New Roman" w:eastAsia="仿宋_GB2312"/>
                <w:spacing w:val="-30"/>
                <w:szCs w:val="21"/>
              </w:rPr>
              <w:t>&gt;N&gt;35</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N</w:t>
            </w:r>
            <w:r>
              <w:rPr>
                <w:rFonts w:ascii="Times New Roman" w:hAnsi="Times New Roman" w:eastAsia="仿宋_GB2312"/>
                <w:spacing w:val="-30"/>
                <w:szCs w:val="21"/>
              </w:rPr>
              <w:t>≥45</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color w:val="FF0000"/>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每学期开展3次以上解决教学重点、难点等问题的教研会议。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≥3</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每学期至少2次对体育教师的教学相关文件进行检查</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&gt;2</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建立有体育教学质量督导小组</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有</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建立有校内体育教学奖励机制</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有</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获得教学成果奖</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30"/>
                <w:szCs w:val="21"/>
              </w:rPr>
              <w:t>国家级</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省级</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校级</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color w:val="FF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获得精品课程、教师名师、教学团队、精品教材、规划教材等</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30"/>
                <w:szCs w:val="21"/>
              </w:rPr>
              <w:t>国家级</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省级</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校级</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color w:val="FF0000"/>
                <w:szCs w:val="21"/>
              </w:rPr>
              <w:t>1.2</w:t>
            </w:r>
          </w:p>
        </w:tc>
      </w:tr>
    </w:tbl>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 w:val="24"/>
          <w:szCs w:val="24"/>
        </w:rPr>
      </w:pPr>
      <w:r>
        <w:rPr>
          <w:rFonts w:ascii="Times New Roman" w:hAnsi="Times New Roman" w:eastAsia="仿宋_GB2312"/>
          <w:sz w:val="24"/>
          <w:szCs w:val="24"/>
        </w:rPr>
        <w:t>续表</w:t>
      </w:r>
    </w:p>
    <w:tbl>
      <w:tblPr>
        <w:tblStyle w:val="4"/>
        <w:tblW w:w="10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008"/>
        <w:gridCol w:w="3746"/>
        <w:gridCol w:w="448"/>
        <w:gridCol w:w="448"/>
        <w:gridCol w:w="811"/>
        <w:gridCol w:w="992"/>
        <w:gridCol w:w="864"/>
        <w:gridCol w:w="724"/>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评价</w:t>
            </w:r>
          </w:p>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指标</w:t>
            </w:r>
          </w:p>
        </w:tc>
        <w:tc>
          <w:tcPr>
            <w:tcW w:w="4754" w:type="dxa"/>
            <w:gridSpan w:val="2"/>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分配(M)</w:t>
            </w:r>
          </w:p>
        </w:tc>
        <w:tc>
          <w:tcPr>
            <w:tcW w:w="3391" w:type="dxa"/>
            <w:gridSpan w:val="4"/>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评分等级(K)</w:t>
            </w:r>
          </w:p>
        </w:tc>
        <w:tc>
          <w:tcPr>
            <w:tcW w:w="708" w:type="dxa"/>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4754"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A</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B</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C</w:t>
            </w:r>
          </w:p>
        </w:tc>
        <w:tc>
          <w:tcPr>
            <w:tcW w:w="724" w:type="dxa"/>
            <w:shd w:val="clear" w:color="auto" w:fill="auto"/>
          </w:tcPr>
          <w:p>
            <w:pPr>
              <w:spacing w:line="260" w:lineRule="exact"/>
              <w:jc w:val="center"/>
              <w:rPr>
                <w:rFonts w:ascii="Times New Roman" w:hAnsi="Times New Roman" w:eastAsia="仿宋_GB2312"/>
                <w:b/>
                <w:szCs w:val="21"/>
              </w:rPr>
            </w:pPr>
            <w:r>
              <w:rPr>
                <w:rFonts w:ascii="Times New Roman" w:hAnsi="Times New Roman" w:eastAsia="仿宋_GB2312"/>
                <w:b/>
                <w:szCs w:val="21"/>
              </w:rPr>
              <w:t>D</w:t>
            </w:r>
          </w:p>
        </w:tc>
        <w:tc>
          <w:tcPr>
            <w:tcW w:w="708" w:type="dxa"/>
            <w:vMerge w:val="continue"/>
            <w:shd w:val="clear" w:color="auto" w:fill="auto"/>
          </w:tcPr>
          <w:p>
            <w:pPr>
              <w:spacing w:line="26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4754"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1.0</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0.6</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0.2</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0．0</w:t>
            </w:r>
          </w:p>
        </w:tc>
        <w:tc>
          <w:tcPr>
            <w:tcW w:w="708" w:type="dxa"/>
            <w:vMerge w:val="continue"/>
            <w:shd w:val="clear" w:color="auto" w:fill="auto"/>
          </w:tcPr>
          <w:p>
            <w:pPr>
              <w:spacing w:line="26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课</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外</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体</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育</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活</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动</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25分</w:t>
            </w:r>
          </w:p>
        </w:tc>
        <w:tc>
          <w:tcPr>
            <w:tcW w:w="1008" w:type="dxa"/>
            <w:vMerge w:val="restart"/>
            <w:shd w:val="clear" w:color="auto" w:fill="auto"/>
            <w:vAlign w:val="center"/>
          </w:tcPr>
          <w:p>
            <w:pPr>
              <w:snapToGrid w:val="0"/>
              <w:spacing w:line="260" w:lineRule="exact"/>
              <w:rPr>
                <w:rFonts w:ascii="Times New Roman" w:hAnsi="Times New Roman" w:eastAsia="仿宋_GB2312"/>
                <w:spacing w:val="-20"/>
                <w:szCs w:val="21"/>
              </w:rPr>
            </w:pPr>
            <w:r>
              <w:rPr>
                <w:rFonts w:ascii="Times New Roman" w:hAnsi="Times New Roman" w:eastAsia="仿宋_GB2312"/>
                <w:spacing w:val="-20"/>
                <w:szCs w:val="21"/>
              </w:rPr>
              <w:t>保证大学生每天一小时体育活动</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按中央7号和国办27号文件有关要求，是否把保证大学生每天一小时体育活动列入规章制度，并纳入教学计划。</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是否要求并组织学生出早操</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能否保证每个学生每周至少参加三次课外体育锻炼</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基本能</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基本</w:t>
            </w:r>
          </w:p>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不能</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不能</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学生体育社团</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学校学生体育社团数量（N）满足需要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N≥45</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45&gt;N≥20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N&lt;20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学生体育社团开展活动活跃，频率高，能做到周周有活动，月月有安排</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每周有</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每月有</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每学期有</w:t>
            </w:r>
          </w:p>
        </w:tc>
        <w:tc>
          <w:tcPr>
            <w:tcW w:w="72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学生参与率</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全校学生参加体育活动的比例高（N）</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70</w:t>
            </w:r>
          </w:p>
        </w:tc>
        <w:tc>
          <w:tcPr>
            <w:tcW w:w="992" w:type="dxa"/>
            <w:shd w:val="clear" w:color="auto" w:fill="auto"/>
            <w:vAlign w:val="center"/>
          </w:tcPr>
          <w:p>
            <w:pPr>
              <w:snapToGrid w:val="0"/>
              <w:spacing w:line="260" w:lineRule="exact"/>
              <w:jc w:val="center"/>
              <w:rPr>
                <w:rFonts w:ascii="Times New Roman" w:hAnsi="Times New Roman" w:eastAsia="仿宋_GB2312"/>
                <w:spacing w:val="-26"/>
                <w:szCs w:val="21"/>
              </w:rPr>
            </w:pPr>
            <w:r>
              <w:rPr>
                <w:rFonts w:ascii="Times New Roman" w:hAnsi="Times New Roman" w:eastAsia="仿宋_GB2312"/>
                <w:spacing w:val="-30"/>
                <w:szCs w:val="21"/>
              </w:rPr>
              <w:t>70&gt;N≥60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60&gt;N≥30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N&lt;30</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定期对学生参加体育活动进行调查、分析，指导学生参加体育活动</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每学期</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每学年</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群体训练和竞赛活动</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学校每年组织春秋2次综合性运动会</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2次</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1次</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建立多个学生群体性代表队，并开展训练和竞赛工作。</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长期</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定期</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有时</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学生群体训练和竞赛安排有计划，科学管理，制度完善。</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代表队参赛情况</w:t>
            </w:r>
          </w:p>
        </w:tc>
        <w:tc>
          <w:tcPr>
            <w:tcW w:w="3746" w:type="dxa"/>
            <w:shd w:val="clear" w:color="auto" w:fill="auto"/>
          </w:tcPr>
          <w:p>
            <w:pPr>
              <w:snapToGrid w:val="0"/>
              <w:spacing w:line="260" w:lineRule="exact"/>
              <w:rPr>
                <w:rFonts w:ascii="Times New Roman" w:hAnsi="Times New Roman" w:eastAsia="仿宋_GB2312"/>
                <w:kern w:val="0"/>
                <w:sz w:val="20"/>
                <w:szCs w:val="21"/>
              </w:rPr>
            </w:pPr>
            <w:r>
              <w:rPr>
                <w:rFonts w:ascii="Times New Roman" w:hAnsi="Times New Roman" w:eastAsia="仿宋_GB2312"/>
                <w:kern w:val="0"/>
                <w:sz w:val="20"/>
                <w:szCs w:val="21"/>
              </w:rPr>
              <w:t>近两年，积极参加省级教育行政部门组织的单项及综合性比赛，平均每年3次以上</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5</w:t>
            </w: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kern w:val="0"/>
                <w:sz w:val="20"/>
                <w:szCs w:val="21"/>
              </w:rPr>
            </w:pPr>
            <w:r>
              <w:rPr>
                <w:rFonts w:ascii="Times New Roman" w:hAnsi="Times New Roman" w:eastAsia="仿宋_GB2312"/>
                <w:kern w:val="0"/>
                <w:sz w:val="20"/>
                <w:szCs w:val="21"/>
              </w:rPr>
              <w:t>近两年，积极参加大体协组织单项比赛，平均每年3次以上</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kern w:val="0"/>
                <w:sz w:val="20"/>
                <w:szCs w:val="21"/>
              </w:rPr>
            </w:pP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kern w:val="0"/>
                <w:sz w:val="20"/>
                <w:szCs w:val="21"/>
              </w:rPr>
              <w:t>近两年，输送队员参加世界大学生运动会或国际大学生单项体育比赛人数</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kern w:val="0"/>
                <w:sz w:val="20"/>
                <w:szCs w:val="21"/>
              </w:rPr>
            </w:pP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color w:val="FF0000"/>
                <w:szCs w:val="21"/>
              </w:rPr>
              <w:t>0</w:t>
            </w:r>
            <w:r>
              <w:rPr>
                <w:rFonts w:ascii="Times New Roman" w:hAnsi="Times New Roman" w:eastAsia="仿宋_GB2312"/>
                <w:color w:val="FF0000"/>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资</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队</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伍</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10分</w:t>
            </w: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师资配备</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教师能满足工作需要，学历结构，梯队建设良好。</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按本科1-2年级学生数计，师生比达到一定要求以上。</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1：100</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1：120</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1：160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color w:val="FF0000"/>
                <w:szCs w:val="21"/>
              </w:rPr>
              <w:t>0</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师资培养</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能保证全体教师外出参加学术会议的制度和经费保障</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全部</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多数</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少数</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有健全的体育教师培养、进修和培训制度，并能较好的实施。</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5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教师待遇</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教师工作量计算合理，体育教学、课外体育活动、运动训练竞赛、学生体质健康标准测量等方面纳入教学工作量体系，并实施“同工同筹”。</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31" w:hRule="atLeast"/>
          <w:jc w:val="center"/>
        </w:trPr>
        <w:tc>
          <w:tcPr>
            <w:tcW w:w="790"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1008"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3746" w:type="dxa"/>
            <w:tcBorders>
              <w:bottom w:val="single" w:color="auto" w:sz="8" w:space="0"/>
            </w:tcBorders>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教师职称评定、学术评价、评优评先等与其他学科相比是否有倾斜政策。</w:t>
            </w:r>
          </w:p>
        </w:tc>
        <w:tc>
          <w:tcPr>
            <w:tcW w:w="448"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811"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0539" w:type="dxa"/>
            <w:gridSpan w:val="10"/>
            <w:tcBorders>
              <w:top w:val="single" w:color="auto" w:sz="8" w:space="0"/>
              <w:left w:val="nil"/>
              <w:bottom w:val="nil"/>
              <w:right w:val="nil"/>
            </w:tcBorders>
            <w:shd w:val="clear" w:color="auto" w:fill="auto"/>
          </w:tcPr>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0539" w:type="dxa"/>
            <w:gridSpan w:val="10"/>
            <w:tcBorders>
              <w:top w:val="nil"/>
              <w:left w:val="nil"/>
              <w:bottom w:val="single" w:color="auto" w:sz="8" w:space="0"/>
              <w:right w:val="nil"/>
            </w:tcBorders>
            <w:shd w:val="clear" w:color="auto" w:fill="auto"/>
          </w:tcPr>
          <w:p>
            <w:pPr>
              <w:snapToGrid w:val="0"/>
              <w:spacing w:line="260" w:lineRule="exact"/>
              <w:ind w:firstLine="720" w:firstLineChars="300"/>
              <w:rPr>
                <w:rFonts w:ascii="Times New Roman" w:hAnsi="Times New Roman" w:eastAsia="仿宋_GB2312"/>
                <w:sz w:val="24"/>
                <w:szCs w:val="24"/>
              </w:rPr>
            </w:pPr>
            <w:r>
              <w:rPr>
                <w:rFonts w:ascii="Times New Roman" w:hAnsi="Times New Roman" w:eastAsia="仿宋_GB2312"/>
                <w:sz w:val="24"/>
                <w:szCs w:val="24"/>
              </w:rPr>
              <w:t>续表</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80" w:hRule="atLeast"/>
          <w:jc w:val="center"/>
        </w:trPr>
        <w:tc>
          <w:tcPr>
            <w:tcW w:w="790" w:type="dxa"/>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评价指标</w:t>
            </w:r>
          </w:p>
        </w:tc>
        <w:tc>
          <w:tcPr>
            <w:tcW w:w="4754" w:type="dxa"/>
            <w:gridSpan w:val="2"/>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分配(M)</w:t>
            </w:r>
          </w:p>
        </w:tc>
        <w:tc>
          <w:tcPr>
            <w:tcW w:w="3391" w:type="dxa"/>
            <w:gridSpan w:val="4"/>
            <w:tcBorders>
              <w:top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评分等级(K)</w:t>
            </w:r>
          </w:p>
        </w:tc>
        <w:tc>
          <w:tcPr>
            <w:tcW w:w="708" w:type="dxa"/>
            <w:tcBorders>
              <w:top w:val="single" w:color="auto" w:sz="8" w:space="0"/>
            </w:tcBorders>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14" w:hRule="atLeast"/>
          <w:jc w:val="center"/>
        </w:trPr>
        <w:tc>
          <w:tcPr>
            <w:tcW w:w="790" w:type="dxa"/>
            <w:vMerge w:val="continue"/>
            <w:shd w:val="clear" w:color="auto" w:fill="auto"/>
          </w:tcPr>
          <w:p>
            <w:pPr>
              <w:snapToGrid w:val="0"/>
              <w:spacing w:line="260" w:lineRule="exact"/>
              <w:jc w:val="center"/>
              <w:rPr>
                <w:rFonts w:ascii="Times New Roman" w:hAnsi="Times New Roman" w:eastAsia="仿宋_GB2312"/>
                <w:b/>
                <w:szCs w:val="21"/>
              </w:rPr>
            </w:pPr>
          </w:p>
        </w:tc>
        <w:tc>
          <w:tcPr>
            <w:tcW w:w="4754" w:type="dxa"/>
            <w:gridSpan w:val="2"/>
            <w:vMerge w:val="continue"/>
            <w:shd w:val="clear" w:color="auto" w:fill="auto"/>
          </w:tcPr>
          <w:p>
            <w:pPr>
              <w:snapToGrid w:val="0"/>
              <w:spacing w:line="260" w:lineRule="exact"/>
              <w:rPr>
                <w:rFonts w:ascii="Times New Roman" w:hAnsi="Times New Roman" w:eastAsia="仿宋_GB2312"/>
                <w:b/>
                <w:szCs w:val="21"/>
              </w:rPr>
            </w:pPr>
          </w:p>
        </w:tc>
        <w:tc>
          <w:tcPr>
            <w:tcW w:w="896" w:type="dxa"/>
            <w:gridSpan w:val="2"/>
            <w:vMerge w:val="continue"/>
            <w:shd w:val="clear" w:color="auto" w:fill="auto"/>
          </w:tcPr>
          <w:p>
            <w:pPr>
              <w:snapToGrid w:val="0"/>
              <w:spacing w:line="260" w:lineRule="exact"/>
              <w:jc w:val="center"/>
              <w:rPr>
                <w:rFonts w:ascii="Times New Roman" w:hAnsi="Times New Roman" w:eastAsia="仿宋_GB2312"/>
                <w:b/>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A</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B</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C</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D</w:t>
            </w:r>
          </w:p>
        </w:tc>
        <w:tc>
          <w:tcPr>
            <w:tcW w:w="708" w:type="dxa"/>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790" w:type="dxa"/>
            <w:vMerge w:val="continue"/>
            <w:shd w:val="clear" w:color="auto" w:fill="auto"/>
          </w:tcPr>
          <w:p>
            <w:pPr>
              <w:snapToGrid w:val="0"/>
              <w:spacing w:line="260" w:lineRule="exact"/>
              <w:jc w:val="center"/>
              <w:rPr>
                <w:rFonts w:ascii="Times New Roman" w:hAnsi="Times New Roman" w:eastAsia="仿宋_GB2312"/>
                <w:b/>
                <w:szCs w:val="21"/>
              </w:rPr>
            </w:pPr>
          </w:p>
        </w:tc>
        <w:tc>
          <w:tcPr>
            <w:tcW w:w="4754" w:type="dxa"/>
            <w:gridSpan w:val="2"/>
            <w:vMerge w:val="continue"/>
            <w:shd w:val="clear" w:color="auto" w:fill="auto"/>
          </w:tcPr>
          <w:p>
            <w:pPr>
              <w:snapToGrid w:val="0"/>
              <w:spacing w:line="260" w:lineRule="exact"/>
              <w:rPr>
                <w:rFonts w:ascii="Times New Roman" w:hAnsi="Times New Roman" w:eastAsia="仿宋_GB2312"/>
                <w:b/>
                <w:szCs w:val="21"/>
              </w:rPr>
            </w:pPr>
          </w:p>
        </w:tc>
        <w:tc>
          <w:tcPr>
            <w:tcW w:w="896" w:type="dxa"/>
            <w:gridSpan w:val="2"/>
            <w:vMerge w:val="continue"/>
            <w:shd w:val="clear" w:color="auto" w:fill="auto"/>
          </w:tcPr>
          <w:p>
            <w:pPr>
              <w:snapToGrid w:val="0"/>
              <w:spacing w:line="260" w:lineRule="exact"/>
              <w:jc w:val="center"/>
              <w:rPr>
                <w:rFonts w:ascii="Times New Roman" w:hAnsi="Times New Roman" w:eastAsia="仿宋_GB2312"/>
                <w:b/>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1.0</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0.6</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0.2</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0．0</w:t>
            </w:r>
          </w:p>
        </w:tc>
        <w:tc>
          <w:tcPr>
            <w:tcW w:w="708" w:type="dxa"/>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98"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条</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件</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保</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障</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10分</w:t>
            </w: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经费</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投入</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学校体育工作经费是否满足需要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学校体育经费（除场馆建设、大型体育器材购置）占学校年度教育事业总经费的比例（N）较高。</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2%</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2%&gt;N≥1%</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N&lt;1%</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color w:val="FF0000"/>
                <w:szCs w:val="21"/>
              </w:rPr>
              <w:t>0.4</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场馆设施与器材</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学校体育场馆是否能满足教学训练等需要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7</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96"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建设有至少一个（N）综合性体育馆</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1</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46"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至少有一个标准400米塑胶田径场地</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2</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pacing w:val="-30"/>
                <w:szCs w:val="21"/>
              </w:rPr>
              <w:t>N=1</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生均室外场地面积达到一定要求</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5</w:t>
            </w:r>
            <w:r>
              <w:rPr>
                <w:rFonts w:hint="eastAsia" w:ascii="Times New Roman" w:hAnsi="Times New Roman" w:eastAsia="仿宋_GB2312"/>
                <w:spacing w:val="-30"/>
                <w:szCs w:val="21"/>
              </w:rPr>
              <w:t>.</w:t>
            </w:r>
            <w:r>
              <w:rPr>
                <w:rFonts w:ascii="Times New Roman" w:hAnsi="Times New Roman" w:eastAsia="仿宋_GB2312"/>
                <w:spacing w:val="-30"/>
                <w:szCs w:val="21"/>
              </w:rPr>
              <w:t>6 M</w:t>
            </w:r>
            <w:r>
              <w:rPr>
                <w:rFonts w:ascii="Times New Roman" w:hAnsi="Times New Roman" w:eastAsia="仿宋_GB2312"/>
                <w:spacing w:val="-30"/>
                <w:szCs w:val="21"/>
                <w:vertAlign w:val="superscript"/>
              </w:rPr>
              <w:t>2</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4</w:t>
            </w:r>
            <w:r>
              <w:rPr>
                <w:rFonts w:hint="eastAsia" w:ascii="Times New Roman" w:hAnsi="Times New Roman" w:eastAsia="仿宋_GB2312"/>
                <w:spacing w:val="-30"/>
                <w:szCs w:val="21"/>
              </w:rPr>
              <w:t>.</w:t>
            </w:r>
            <w:r>
              <w:rPr>
                <w:rFonts w:ascii="Times New Roman" w:hAnsi="Times New Roman" w:eastAsia="仿宋_GB2312"/>
                <w:spacing w:val="-30"/>
                <w:szCs w:val="21"/>
              </w:rPr>
              <w:t>7 M</w:t>
            </w:r>
            <w:r>
              <w:rPr>
                <w:rFonts w:ascii="Times New Roman" w:hAnsi="Times New Roman" w:eastAsia="仿宋_GB2312"/>
                <w:spacing w:val="-30"/>
                <w:szCs w:val="21"/>
                <w:vertAlign w:val="superscript"/>
              </w:rPr>
              <w:t>2</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3.0 M</w:t>
            </w:r>
            <w:r>
              <w:rPr>
                <w:rFonts w:ascii="Times New Roman" w:hAnsi="Times New Roman" w:eastAsia="仿宋_GB2312"/>
                <w:spacing w:val="-30"/>
                <w:szCs w:val="21"/>
                <w:vertAlign w:val="superscript"/>
              </w:rPr>
              <w:t>2</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学生体质健康标准实施</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15分</w:t>
            </w: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学生体质健康标准测试达标率</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《国家学生体质健康标准》测试是否按时上报教育部</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9</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201</w:t>
            </w:r>
            <w:r>
              <w:rPr>
                <w:rFonts w:hint="eastAsia" w:ascii="Times New Roman" w:hAnsi="Times New Roman" w:eastAsia="仿宋_GB2312"/>
                <w:szCs w:val="21"/>
              </w:rPr>
              <w:t>9</w:t>
            </w:r>
            <w:r>
              <w:rPr>
                <w:rFonts w:ascii="Times New Roman" w:hAnsi="Times New Roman" w:eastAsia="仿宋_GB2312"/>
                <w:szCs w:val="21"/>
              </w:rPr>
              <w:t>年及格率</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85</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85&gt;N≥75</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N&lt;75</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2020年及格率</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90</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90&gt;N≥80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N&lt;80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color w:val="FF0000"/>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学生体质健康标准运用情况</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近年来，学校是否每年发布全校学生体质健康状况公报。</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学校是否根据上一年度学生体质状况，有针对性地调整下一年教学计划和内容，增强学生体质健康水平。</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17" w:hRule="atLeast"/>
          <w:jc w:val="center"/>
        </w:trPr>
        <w:tc>
          <w:tcPr>
            <w:tcW w:w="790"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加分</w:t>
            </w:r>
          </w:p>
        </w:tc>
        <w:tc>
          <w:tcPr>
            <w:tcW w:w="4754" w:type="dxa"/>
            <w:gridSpan w:val="2"/>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是否是教育部批准建设高水平运动队学校</w:t>
            </w:r>
          </w:p>
        </w:tc>
        <w:tc>
          <w:tcPr>
            <w:tcW w:w="896" w:type="dxa"/>
            <w:gridSpan w:val="2"/>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5</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5</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11" w:hRule="atLeast"/>
          <w:jc w:val="center"/>
        </w:trPr>
        <w:tc>
          <w:tcPr>
            <w:tcW w:w="1798" w:type="dxa"/>
            <w:gridSpan w:val="2"/>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总分共计</w:t>
            </w:r>
          </w:p>
        </w:tc>
        <w:tc>
          <w:tcPr>
            <w:tcW w:w="8741" w:type="dxa"/>
            <w:gridSpan w:val="8"/>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92.8</w:t>
            </w:r>
          </w:p>
        </w:tc>
      </w:tr>
    </w:tbl>
    <w:p>
      <w:pPr>
        <w:snapToGrid w:val="0"/>
        <w:spacing w:line="480" w:lineRule="exact"/>
        <w:rPr>
          <w:rFonts w:ascii="Times New Roman" w:hAnsi="Times New Roman" w:eastAsia="仿宋_GB2312"/>
          <w:szCs w:val="21"/>
        </w:rPr>
      </w:pPr>
      <w:r>
        <w:rPr>
          <w:rFonts w:ascii="Times New Roman" w:hAnsi="Times New Roman" w:eastAsia="仿宋_GB2312"/>
          <w:szCs w:val="21"/>
        </w:rPr>
        <w:t>注：1．每项得分＝分值（M）X　评分等级（K）中相应的系数</w:t>
      </w:r>
      <w:r>
        <w:rPr>
          <w:rFonts w:hint="eastAsia" w:ascii="Times New Roman" w:hAnsi="Times New Roman" w:eastAsia="仿宋_GB2312"/>
          <w:szCs w:val="21"/>
        </w:rPr>
        <w:t>。</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2．总分为每项得分之和。</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3．设加分点，主要鼓励非教育部批准建设高水平运动队学校积极开展课余体育训练，提高学生运动技术水平。</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4．凡在公示期间，接收到举报有关学校自评报告内容不真实，不讲诚信的，一经核实，取消本次申报，并向社会通报。</w:t>
      </w:r>
    </w:p>
    <w:p>
      <w:pPr>
        <w:rPr>
          <w:rFonts w:ascii="Times New Roman" w:hAnsi="Times New Roman" w:eastAsia="仿宋_GB2312"/>
          <w:szCs w:val="21"/>
        </w:rPr>
      </w:pPr>
      <w:r>
        <w:rPr>
          <w:rFonts w:ascii="Times New Roman" w:hAnsi="Times New Roman" w:eastAsia="仿宋_GB2312"/>
          <w:szCs w:val="21"/>
        </w:rPr>
        <w:br w:type="page"/>
      </w:r>
    </w:p>
    <w:p>
      <w:pPr>
        <w:snapToGrid w:val="0"/>
        <w:spacing w:line="580" w:lineRule="exact"/>
        <w:rPr>
          <w:rFonts w:ascii="Times New Roman" w:hAnsi="Times New Roman" w:eastAsia="黑体"/>
          <w:sz w:val="32"/>
          <w:szCs w:val="32"/>
        </w:rPr>
      </w:pPr>
      <w:r>
        <w:rPr>
          <w:rFonts w:ascii="Times New Roman" w:hAnsi="Times New Roman" w:eastAsia="黑体"/>
          <w:sz w:val="32"/>
          <w:szCs w:val="32"/>
        </w:rPr>
        <w:t>附件3</w:t>
      </w:r>
    </w:p>
    <w:p>
      <w:pPr>
        <w:snapToGrid w:val="0"/>
        <w:spacing w:line="580" w:lineRule="exact"/>
        <w:jc w:val="center"/>
        <w:rPr>
          <w:rFonts w:ascii="Times New Roman" w:hAnsi="Times New Roman" w:eastAsia="方正小标宋简体"/>
          <w:sz w:val="36"/>
          <w:szCs w:val="36"/>
        </w:rPr>
      </w:pPr>
      <w:r>
        <w:rPr>
          <w:rFonts w:ascii="Times New Roman" w:hAnsi="Times New Roman" w:eastAsia="方正小标宋简体"/>
          <w:sz w:val="36"/>
          <w:szCs w:val="36"/>
        </w:rPr>
        <w:t>申报</w:t>
      </w:r>
      <w:r>
        <w:rPr>
          <w:rFonts w:hint="eastAsia" w:ascii="Times New Roman" w:hAnsi="Times New Roman" w:eastAsia="方正小标宋简体"/>
          <w:sz w:val="36"/>
          <w:szCs w:val="36"/>
        </w:rPr>
        <w:t>“</w:t>
      </w:r>
      <w:r>
        <w:rPr>
          <w:rFonts w:ascii="Times New Roman" w:hAnsi="Times New Roman" w:eastAsia="方正小标宋简体"/>
          <w:sz w:val="36"/>
          <w:szCs w:val="36"/>
        </w:rPr>
        <w:t>校长杯</w:t>
      </w:r>
      <w:r>
        <w:rPr>
          <w:rFonts w:hint="eastAsia" w:ascii="Times New Roman" w:hAnsi="Times New Roman" w:eastAsia="方正小标宋简体"/>
          <w:sz w:val="36"/>
          <w:szCs w:val="36"/>
        </w:rPr>
        <w:t>”</w:t>
      </w:r>
      <w:r>
        <w:rPr>
          <w:rFonts w:ascii="Times New Roman" w:hAnsi="Times New Roman" w:eastAsia="方正小标宋简体"/>
          <w:sz w:val="36"/>
          <w:szCs w:val="36"/>
        </w:rPr>
        <w:t>学校参加第十四届全国学生运动会的</w:t>
      </w:r>
    </w:p>
    <w:p>
      <w:pPr>
        <w:snapToGrid w:val="0"/>
        <w:spacing w:line="580" w:lineRule="exact"/>
        <w:jc w:val="center"/>
        <w:rPr>
          <w:rFonts w:ascii="Times New Roman" w:hAnsi="Times New Roman" w:eastAsia="方正小标宋简体"/>
          <w:sz w:val="36"/>
          <w:szCs w:val="36"/>
        </w:rPr>
      </w:pPr>
      <w:r>
        <w:rPr>
          <w:rFonts w:ascii="Times New Roman" w:hAnsi="Times New Roman" w:eastAsia="方正小标宋简体"/>
          <w:sz w:val="36"/>
          <w:szCs w:val="36"/>
        </w:rPr>
        <w:t>运动员参赛情况统计表</w:t>
      </w:r>
    </w:p>
    <w:p>
      <w:pPr>
        <w:snapToGrid w:val="0"/>
        <w:spacing w:line="280" w:lineRule="exact"/>
        <w:jc w:val="center"/>
        <w:rPr>
          <w:rFonts w:ascii="Times New Roman" w:hAnsi="Times New Roman" w:eastAsia="仿宋_GB2312"/>
          <w:sz w:val="32"/>
          <w:szCs w:val="32"/>
        </w:rPr>
      </w:pPr>
    </w:p>
    <w:p>
      <w:pPr>
        <w:snapToGrid w:val="0"/>
        <w:spacing w:line="580" w:lineRule="exact"/>
        <w:rPr>
          <w:rFonts w:ascii="Times New Roman" w:hAnsi="Times New Roman" w:eastAsia="仿宋_GB2312"/>
          <w:sz w:val="32"/>
          <w:szCs w:val="32"/>
        </w:rPr>
      </w:pPr>
      <w:r>
        <w:rPr>
          <w:rFonts w:ascii="Times New Roman" w:hAnsi="Times New Roman" w:eastAsia="仿宋_GB2312"/>
          <w:sz w:val="32"/>
          <w:szCs w:val="32"/>
        </w:rPr>
        <w:t>省（区、市）：</w:t>
      </w:r>
      <w:r>
        <w:rPr>
          <w:rFonts w:hint="eastAsia" w:ascii="Times New Roman" w:hAnsi="Times New Roman" w:eastAsia="仿宋_GB2312"/>
          <w:sz w:val="32"/>
          <w:szCs w:val="32"/>
        </w:rPr>
        <w:t>山东省</w:t>
      </w:r>
      <w:r>
        <w:rPr>
          <w:rFonts w:ascii="Times New Roman" w:hAnsi="Times New Roman" w:eastAsia="仿宋_GB2312"/>
          <w:sz w:val="32"/>
          <w:szCs w:val="32"/>
        </w:rPr>
        <w:t xml:space="preserve">         学校名称：</w:t>
      </w:r>
      <w:r>
        <w:rPr>
          <w:rFonts w:hint="eastAsia" w:ascii="Times New Roman" w:hAnsi="Times New Roman" w:eastAsia="仿宋_GB2312"/>
          <w:sz w:val="32"/>
          <w:szCs w:val="32"/>
        </w:rPr>
        <w:t>山东农业大学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2167"/>
        <w:gridCol w:w="998"/>
        <w:gridCol w:w="3493"/>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序号</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运动员姓名</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性别</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参赛项目</w:t>
            </w:r>
          </w:p>
        </w:tc>
        <w:tc>
          <w:tcPr>
            <w:tcW w:w="87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1</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齐  城</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男</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篮球</w:t>
            </w:r>
            <w:r>
              <w:rPr>
                <w:rFonts w:ascii="Times New Roman" w:hAnsi="Times New Roman" w:eastAsia="仿宋_GB2312"/>
                <w:sz w:val="32"/>
                <w:szCs w:val="32"/>
              </w:rPr>
              <w:t>大学男子组</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2</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杨昕宇</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男</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篮球</w:t>
            </w:r>
            <w:r>
              <w:rPr>
                <w:rFonts w:ascii="Times New Roman" w:hAnsi="Times New Roman" w:eastAsia="仿宋_GB2312"/>
                <w:sz w:val="32"/>
                <w:szCs w:val="32"/>
              </w:rPr>
              <w:t>大学男子组</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3</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王明浩</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男</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篮球</w:t>
            </w:r>
            <w:r>
              <w:rPr>
                <w:rFonts w:ascii="Times New Roman" w:hAnsi="Times New Roman" w:eastAsia="仿宋_GB2312"/>
                <w:sz w:val="32"/>
                <w:szCs w:val="32"/>
              </w:rPr>
              <w:t>大学男子组</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4</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杨祎晖</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男</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篮球</w:t>
            </w:r>
            <w:r>
              <w:rPr>
                <w:rFonts w:ascii="Times New Roman" w:hAnsi="Times New Roman" w:eastAsia="仿宋_GB2312"/>
                <w:sz w:val="32"/>
                <w:szCs w:val="32"/>
              </w:rPr>
              <w:t>大学男子组</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5</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徐庆友</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男</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篮球</w:t>
            </w:r>
            <w:r>
              <w:rPr>
                <w:rFonts w:ascii="Times New Roman" w:hAnsi="Times New Roman" w:eastAsia="仿宋_GB2312"/>
                <w:sz w:val="32"/>
                <w:szCs w:val="32"/>
              </w:rPr>
              <w:t>大学男子组</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6</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翟  晨</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男</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篮球</w:t>
            </w:r>
            <w:r>
              <w:rPr>
                <w:rFonts w:ascii="Times New Roman" w:hAnsi="Times New Roman" w:eastAsia="仿宋_GB2312"/>
                <w:sz w:val="32"/>
                <w:szCs w:val="32"/>
              </w:rPr>
              <w:t>大学男子组</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7</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周瑞玺</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男</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篮球</w:t>
            </w:r>
            <w:r>
              <w:rPr>
                <w:rFonts w:ascii="Times New Roman" w:hAnsi="Times New Roman" w:eastAsia="仿宋_GB2312"/>
                <w:sz w:val="32"/>
                <w:szCs w:val="32"/>
              </w:rPr>
              <w:t>大学男子组</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8</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陈靖宇</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男</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篮球</w:t>
            </w:r>
            <w:r>
              <w:rPr>
                <w:rFonts w:ascii="Times New Roman" w:hAnsi="Times New Roman" w:eastAsia="仿宋_GB2312"/>
                <w:sz w:val="32"/>
                <w:szCs w:val="32"/>
              </w:rPr>
              <w:t>大学男子组</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9</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邱子钊</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男</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hint="eastAsia" w:ascii="Times New Roman" w:hAnsi="Times New Roman" w:eastAsia="仿宋_GB2312"/>
                <w:sz w:val="32"/>
                <w:szCs w:val="32"/>
              </w:rPr>
              <w:t>篮球</w:t>
            </w:r>
            <w:r>
              <w:rPr>
                <w:rFonts w:ascii="Times New Roman" w:hAnsi="Times New Roman" w:eastAsia="仿宋_GB2312"/>
                <w:sz w:val="32"/>
                <w:szCs w:val="32"/>
              </w:rPr>
              <w:t>大学男子组</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bl>
    <w:p>
      <w:pPr>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注：参赛项目要写清楚参赛小项。</w:t>
      </w:r>
    </w:p>
    <w:p/>
    <w:p>
      <w:pPr>
        <w:snapToGrid w:val="0"/>
        <w:spacing w:line="480" w:lineRule="exact"/>
        <w:ind w:firstLine="420" w:firstLineChars="200"/>
        <w:rPr>
          <w:rFonts w:ascii="Times New Roman" w:hAnsi="Times New Roman" w:eastAsia="仿宋_GB2312"/>
          <w:szCs w:val="21"/>
        </w:rPr>
      </w:pPr>
    </w:p>
    <w:p>
      <w:pPr>
        <w:snapToGrid w:val="0"/>
        <w:spacing w:line="580" w:lineRule="exact"/>
        <w:rPr>
          <w:rFonts w:ascii="Times New Roman" w:hAnsi="Times New Roman"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3A"/>
    <w:rsid w:val="0023173D"/>
    <w:rsid w:val="003A172A"/>
    <w:rsid w:val="003B763A"/>
    <w:rsid w:val="00434550"/>
    <w:rsid w:val="00454C86"/>
    <w:rsid w:val="00461906"/>
    <w:rsid w:val="0048613B"/>
    <w:rsid w:val="00494898"/>
    <w:rsid w:val="0065202B"/>
    <w:rsid w:val="00670682"/>
    <w:rsid w:val="006B4F9A"/>
    <w:rsid w:val="006D4E9D"/>
    <w:rsid w:val="009474B5"/>
    <w:rsid w:val="009D2D77"/>
    <w:rsid w:val="00A05014"/>
    <w:rsid w:val="00A565CF"/>
    <w:rsid w:val="00AE5FC5"/>
    <w:rsid w:val="00B20D66"/>
    <w:rsid w:val="00BA731E"/>
    <w:rsid w:val="00BF7B68"/>
    <w:rsid w:val="00C6276E"/>
    <w:rsid w:val="00CF74ED"/>
    <w:rsid w:val="00D22FD6"/>
    <w:rsid w:val="00E22613"/>
    <w:rsid w:val="00E43594"/>
    <w:rsid w:val="00E71CCE"/>
    <w:rsid w:val="00EC41E4"/>
    <w:rsid w:val="261E48BF"/>
    <w:rsid w:val="2DBD1D2C"/>
    <w:rsid w:val="5CAC5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Calibri" w:hAnsi="Calibri" w:eastAsia="宋体" w:cs="Times New Roman"/>
      <w:sz w:val="18"/>
      <w:szCs w:val="18"/>
    </w:rPr>
  </w:style>
  <w:style w:type="character" w:customStyle="1" w:styleId="7">
    <w:name w:val="页脚 Char"/>
    <w:basedOn w:val="5"/>
    <w:link w:val="2"/>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498</Words>
  <Characters>2842</Characters>
  <Lines>23</Lines>
  <Paragraphs>6</Paragraphs>
  <TotalTime>0</TotalTime>
  <ScaleCrop>false</ScaleCrop>
  <LinksUpToDate>false</LinksUpToDate>
  <CharactersWithSpaces>3334</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2021-07-03T08:13:00Z</dcterms:created>
  <dc:creator>PC</dc:creator>
  <cp:lastModifiedBy>银座旅游集团</cp:lastModifiedBy>
  <dcterms:modified xsi:type="dcterms:W3CDTF">2021-07-05T03:27:39Z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67AAC82814CB4BB7980EF0EF1EAC7CCE</vt:lpwstr>
  </property>
</Properties>
</file>