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Style w:val="5"/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8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fldChar w:fldCharType="begin"/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instrText xml:space="preserve"> HYPERLINK "http://edu.shandong.gov.cn/module/download/downfile.jsp?classid=0&amp;filename=de64ecdc59eb43f08bb3cfc69e2301f4.docx" </w:instrTex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fldChar w:fldCharType="separate"/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2024年“高职院校专项计划”招生计划表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fldChar w:fldCharType="end"/>
      </w:r>
    </w:p>
    <w:bookmarkEnd w:id="0"/>
    <w:tbl>
      <w:tblPr>
        <w:tblStyle w:val="3"/>
        <w:tblW w:w="82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454"/>
        <w:gridCol w:w="2880"/>
        <w:gridCol w:w="1270"/>
        <w:gridCol w:w="1000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Header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学校代码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计划类别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10832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12062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学前教育（师范类）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学前教育（师范类）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飞行器维修技术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12324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12326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12328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铁道机车运用与维护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铁道车辆技术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高速铁路综合维修技术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12396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12440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12818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12819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现代非织造技术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12947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动物营养与饲料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中兽医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13009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13014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青岛港湾职业技术学院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13323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春季高考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夏季高考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D056C"/>
    <w:rsid w:val="0AEE5859"/>
    <w:rsid w:val="131A0C81"/>
    <w:rsid w:val="50BD056C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2024-05-21T03:11:00Z</dcterms:created>
  <dc:creator>z</dc:creator>
  <cp:lastModifiedBy>z</cp:lastModifiedBy>
  <dcterms:modified xsi:type="dcterms:W3CDTF">2024-05-21T03:11:21Z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